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tbl>
      <w:tblPr>
        <w:name w:val="Таблица1"/>
        <w:tabOrder w:val="0"/>
        <w:jc w:val="center"/>
        <w:tblInd w:w="0" w:type="dxa"/>
        <w:tblW w:w="9372" w:type="dxa"/>
        <w:pPr>
          <w:ind w:left="-108"/>
          <w:spacing/>
          <w:jc w:val="center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1529"/>
        <w:gridCol w:w="628"/>
        <w:gridCol w:w="396"/>
        <w:gridCol w:w="1752"/>
        <w:gridCol w:w="529"/>
        <w:gridCol w:w="506"/>
        <w:gridCol w:w="585"/>
        <w:gridCol w:w="586"/>
        <w:gridCol w:w="1961"/>
        <w:gridCol w:w="900"/>
      </w:tblGrid>
      <w:tr>
        <w:trPr>
          <w:tblHeader w:val="0"/>
          <w:cantSplit w:val="0"/>
          <w:trHeight w:val="1210" w:hRule="atLeast"/>
        </w:trPr>
        <w:tc>
          <w:tcPr>
            <w:tcW w:w="9372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left="285" w:right="850"/>
              <w:spacing/>
              <w:jc w:val="center"/>
              <w:hyphenationLines w:val="1"/>
            </w:pPr>
            <w:r>
              <w:rPr>
                <w:noProof w:val="1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54025" cy="719455"/>
                  <wp:effectExtent l="0" t="0" r="0" b="0"/>
                  <wp:docPr id="1" name="Изображение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6"/>
                          <pic:cNvPicPr>
                            <a:extLst>
                              <a:ext uri="sm">
                                <sm:smNativeData xmlns:sm="sm" val="SMDATA_16_EKKZaB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AAAAAAAAAAAAAAAAAAAAAAAAAAAAAAAAAAAAAAAAAAAAAAAywIAAG0EAAAAAAAAAAAAAAAAAAAoAAAACAAAAAEAAAABAAAA"/>
                              </a:ext>
                            </a:extLst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7194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 w:val="1"/>
              </w:rPr>
            </w:r>
            <w:r/>
          </w:p>
        </w:tc>
      </w:tr>
      <w:tr>
        <w:trPr>
          <w:tblHeader w:val="0"/>
          <w:cantSplit w:val="0"/>
          <w:trHeight w:val="1336" w:hRule="atLeast"/>
        </w:trPr>
        <w:tc>
          <w:tcPr>
            <w:tcW w:w="9372" w:type="dxa"/>
            <w:gridSpan w:val="10"/>
            <w:shd w:val="none"/>
            <w:tcMar>
              <w:top w:w="0" w:type="dxa"/>
              <w:left w:w="1020" w:type="dxa"/>
              <w:bottom w:w="0" w:type="dxa"/>
              <w:right w:w="1060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 w:line="276" w:lineRule="auto"/>
              <w:jc w:val="center"/>
              <w:hyphenationLines w:val="1"/>
              <w:rPr>
                <w:b/>
                <w:caps/>
                <w:sz w:val="28"/>
                <w:szCs w:val="28"/>
              </w:rPr>
            </w:pPr>
            <w:bookmarkStart w:id="0" w:name="r06"/>
            <w:r>
              <w:rPr>
                <w:b/>
                <w:caps/>
                <w:sz w:val="28"/>
                <w:szCs w:val="28"/>
              </w:rPr>
              <w:t xml:space="preserve"> КЕМЕРОВСКАЯ ОБЛАСТЬ-КУЗБАСС</w:t>
            </w:r>
          </w:p>
          <w:p>
            <w:pPr>
              <w:spacing w:line="276" w:lineRule="auto"/>
              <w:jc w:val="center"/>
              <w:hyphenationLines w:val="1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Анжеро-Судженский городской округ</w:t>
            </w:r>
          </w:p>
          <w:p>
            <w:pPr>
              <w:spacing w:line="276" w:lineRule="auto"/>
              <w:jc w:val="center"/>
              <w:hyphenationLines w:val="1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Администрация Анжеро-Судженского</w:t>
            </w:r>
            <w:bookmarkEnd w:id="0"/>
            <w:r>
              <w:rPr>
                <w:b/>
                <w:caps/>
                <w:sz w:val="28"/>
                <w:szCs w:val="28"/>
              </w:rPr>
              <w:t xml:space="preserve"> городского округа</w:t>
            </w:r>
          </w:p>
          <w:p>
            <w:pPr>
              <w:spacing w:line="360" w:lineRule="auto"/>
              <w:jc w:val="center"/>
              <w:hyphenationLines w:val="1"/>
              <w:rPr>
                <w:rFonts w:ascii="Arial Narrow" w:hAnsi="Arial Narrow" w:cs="Arial Narrow"/>
                <w:b/>
                <w:cap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caps/>
                <w:sz w:val="26"/>
                <w:szCs w:val="26"/>
              </w:rPr>
            </w:r>
          </w:p>
        </w:tc>
      </w:tr>
      <w:tr>
        <w:trPr>
          <w:tblHeader w:val="0"/>
          <w:cantSplit w:val="0"/>
          <w:trHeight w:val="493" w:hRule="exact"/>
        </w:trPr>
        <w:tc>
          <w:tcPr>
            <w:tcW w:w="9372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hyphenationLines w:val="1"/>
              <w:rPr>
                <w:rFonts w:ascii="Arial Narrow" w:hAnsi="Arial Narrow" w:cs="Arial Narrow"/>
                <w:b/>
                <w:caps/>
              </w:rPr>
            </w:pPr>
            <w:r>
              <w:rPr>
                <w:b/>
                <w:sz w:val="28"/>
                <w:szCs w:val="28"/>
              </w:rPr>
              <w:t xml:space="preserve">  ПОСТАНОВЛЕНИЕ</w:t>
            </w:r>
            <w:r>
              <w:rPr>
                <w:rFonts w:ascii="Arial Narrow" w:hAnsi="Arial Narrow" w:cs="Arial Narrow"/>
                <w:b/>
                <w:caps/>
              </w:rPr>
            </w:r>
          </w:p>
        </w:tc>
      </w:tr>
      <w:tr>
        <w:trPr>
          <w:tblHeader w:val="0"/>
          <w:cantSplit w:val="0"/>
          <w:trHeight w:val="267" w:hRule="atLeast"/>
        </w:trPr>
        <w:tc>
          <w:tcPr>
            <w:tcW w:w="9372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blHeader w:val="0"/>
          <w:cantSplit w:val="0"/>
          <w:trHeight w:val="339" w:hRule="atLeast"/>
        </w:trPr>
        <w:tc>
          <w:tcPr>
            <w:tcW w:w="15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right="33"/>
              <w:spacing/>
              <w:jc w:val="right"/>
              <w:hyphenationLines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</w:p>
        </w:tc>
        <w:tc>
          <w:tcPr>
            <w:tcW w:w="62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hyphenationLines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9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both"/>
              <w:hyphenationLines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75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hyphenationLines w:val="1"/>
              <w:rPr>
                <w:sz w:val="28"/>
                <w:szCs w:val="28"/>
              </w:rPr>
            </w:pPr>
            <w:bookmarkStart w:id="1" w:name="r09m"/>
            <w:r>
              <w:rPr>
                <w:sz w:val="28"/>
                <w:szCs w:val="28"/>
              </w:rPr>
            </w:r>
            <w:bookmarkEnd w:id="1"/>
            <w:r>
              <w:rPr>
                <w:sz w:val="28"/>
                <w:szCs w:val="28"/>
              </w:rPr>
            </w:r>
          </w:p>
        </w:tc>
        <w:tc>
          <w:tcPr>
            <w:tcW w:w="5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right="-76"/>
              <w:spacing/>
              <w:jc w:val="right"/>
              <w:hyphenationLines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0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right="-152"/>
              <w:hyphenationLines w:val="1"/>
              <w:rPr>
                <w:sz w:val="28"/>
                <w:szCs w:val="28"/>
              </w:rPr>
            </w:pPr>
            <w:bookmarkStart w:id="2" w:name="r09y"/>
            <w:r>
              <w:rPr>
                <w:sz w:val="28"/>
                <w:szCs w:val="28"/>
              </w:rPr>
              <w:t xml:space="preserve">   </w:t>
            </w:r>
            <w:bookmarkEnd w:id="2"/>
            <w:r>
              <w:rPr>
                <w:sz w:val="28"/>
                <w:szCs w:val="28"/>
              </w:rPr>
            </w:r>
          </w:p>
        </w:tc>
        <w:tc>
          <w:tcPr>
            <w:tcW w:w="585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58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61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tabs defTabSz="708">
                <w:tab w:val="center" w:pos="872" w:leader="none"/>
              </w:tabs>
              <w:rPr>
                <w:sz w:val="28"/>
                <w:szCs w:val="28"/>
              </w:rPr>
            </w:pPr>
            <w:bookmarkStart w:id="3" w:name="r10"/>
            <w:r>
              <w:rPr>
                <w:sz w:val="28"/>
                <w:szCs w:val="28"/>
              </w:rPr>
              <w:t xml:space="preserve">   </w:t>
            </w:r>
            <w:bookmarkEnd w:id="3"/>
            <w:r>
              <w:rPr>
                <w:sz w:val="28"/>
                <w:szCs w:val="28"/>
              </w:rPr>
              <w:tab/>
            </w:r>
          </w:p>
        </w:tc>
        <w:tc>
          <w:tcPr>
            <w:tcW w:w="90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371" w:hRule="atLeast"/>
        </w:trPr>
        <w:tc>
          <w:tcPr>
            <w:tcW w:w="9372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hyphenationLines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spacing/>
        <w:jc w:val="center"/>
        <w:tabs defTabSz="708">
          <w:tab w:val="left" w:pos="6195" w:leader="none"/>
          <w:tab w:val="left" w:pos="706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</w:rPr>
      </w:r>
      <w:bookmarkStart w:id="4" w:name="__DdeLink__4836_1800157355"/>
      <w:r>
        <w:rPr>
          <w:b/>
          <w:kern w:val="1"/>
          <w:sz w:val="28"/>
        </w:rPr>
        <w:t>Об утверждении муниципальной программы</w:t>
      </w:r>
      <w:r>
        <w:rPr>
          <w:b/>
          <w:kern w:val="1"/>
          <w:sz w:val="28"/>
          <w:szCs w:val="28"/>
        </w:rPr>
        <w:t xml:space="preserve"> администрации Анжеро-Судженского городского округа «Развитие и поддержка субъектов малого и среднего предпринимательства Анжеро-Судженского городского округа»</w:t>
      </w:r>
    </w:p>
    <w:p>
      <w:pPr>
        <w:spacing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</w:r>
    </w:p>
    <w:p>
      <w:pPr>
        <w:ind w:firstLine="709"/>
        <w:spacing/>
        <w:jc w:val="both"/>
        <w:rPr>
          <w:rFonts w:cs="Arial"/>
          <w:kern w:val="1"/>
          <w:sz w:val="20"/>
          <w:szCs w:val="20"/>
        </w:rPr>
      </w:pPr>
      <w:r>
        <w:rPr>
          <w:kern w:val="1"/>
          <w:sz w:val="28"/>
          <w:szCs w:val="28"/>
        </w:rPr>
        <w:t xml:space="preserve">В целях создания благоприятных условий для развития малого и среднего предпринимательства на территории Анжеро-Судженского городского округа и </w:t>
      </w:r>
      <w:r>
        <w:rPr>
          <w:rFonts w:cs="Arial"/>
          <w:color w:val="000000"/>
          <w:kern w:val="1"/>
          <w:sz w:val="28"/>
          <w:szCs w:val="28"/>
        </w:rPr>
        <w:t>руководствуясь постановлением администрации Анжеро-Судженского городского округа от 15.07.2025 № 721  «</w:t>
      </w:r>
      <w:r>
        <w:rPr>
          <w:rFonts w:cs="PT Astra Serif"/>
          <w:color w:val="000000"/>
          <w:kern w:val="1"/>
          <w:sz w:val="28"/>
          <w:szCs w:val="28"/>
        </w:rPr>
        <w:t>О порядке разработки и реализации муниципальных программ Анжеро-Судженского городского округа Кемеровской области - Кузбасса и признании утратившими силу некоторых постановлений администрации Анжеро-Судженского городского округа»</w:t>
      </w:r>
      <w:r>
        <w:rPr>
          <w:rFonts w:cs="Arial"/>
          <w:color w:val="000000"/>
          <w:kern w:val="1"/>
          <w:sz w:val="28"/>
          <w:szCs w:val="28"/>
        </w:rPr>
        <w:t>:</w:t>
      </w:r>
      <w:r>
        <w:rPr>
          <w:rFonts w:cs="Arial"/>
          <w:kern w:val="1"/>
          <w:sz w:val="20"/>
          <w:szCs w:val="20"/>
        </w:rPr>
      </w:r>
    </w:p>
    <w:p>
      <w:pPr>
        <w:pStyle w:val="para14"/>
        <w:ind w:firstLine="540"/>
        <w:spacing/>
        <w:jc w:val="both"/>
        <w:rPr>
          <w:rFonts w:ascii="Times New Roman" w:hAnsi="Times New Roman" w:cs="Times New Roman"/>
          <w:kern w:val="1"/>
          <w:lang w:eastAsia="ru-ru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1. Утвердить прилагаемую муниципальную программу </w:t>
      </w:r>
      <w:r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Развитие и поддержка субъектов малого и среднего предпринимательства Анжеро-Судженского городского округа»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kern w:val="1"/>
          <w:lang w:eastAsia="ru-ru"/>
        </w:rPr>
      </w:r>
    </w:p>
    <w:p>
      <w:pPr>
        <w:pStyle w:val="para14"/>
        <w:ind w:firstLine="540"/>
        <w:spacing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2. Признать утратившими силу следующие постановления администрации Анжеро-Судженского городского округа: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kern w:val="1"/>
          <w:sz w:val="28"/>
          <w:szCs w:val="28"/>
        </w:rPr>
        <w:t xml:space="preserve">- от 30.08.2021 № 944 </w:t>
      </w:r>
      <w:r>
        <w:rPr>
          <w:sz w:val="28"/>
          <w:szCs w:val="28"/>
        </w:rPr>
        <w:t>об утверждении муниципальной   программы «Развитие  и поддержка субъектов малого и среднего предпринимательства Анжеро-Судженского городского округа» на 2022 -2024 годы;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от 08.02.2022 № 180 </w:t>
      </w:r>
      <w:r>
        <w:rPr>
          <w:sz w:val="28"/>
          <w:szCs w:val="28"/>
        </w:rPr>
        <w:t>о внесении изменений в постановление администрации Анжеро-Судженского городского округа от 30.08.2021 № 944 «Об утверждении муниципальной   программы «Развитие  и поддержка субъектов малого и среднего предпринимательства Анжеро-Судженского городского округа» на 2022 -2024 годы</w:t>
      </w:r>
      <w:r>
        <w:rPr>
          <w:kern w:val="1"/>
          <w:sz w:val="28"/>
          <w:szCs w:val="28"/>
        </w:rPr>
        <w:t>;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- 19.07.2022 № 995 </w:t>
      </w:r>
      <w:r>
        <w:rPr>
          <w:sz w:val="28"/>
          <w:szCs w:val="28"/>
        </w:rPr>
        <w:t>о внесении изменений в постановление администрации Анжеро-Судженского городского округа от 30.08.2021 № 944 «Об утверждении муниципальной   программы «Развитие  и поддержка субъектов малого и среднего предпринимательства Анжеро-Судженского городского округа» на 2022 -2024 годы</w:t>
      </w:r>
      <w:r>
        <w:rPr>
          <w:kern w:val="1"/>
          <w:sz w:val="28"/>
          <w:szCs w:val="28"/>
        </w:rPr>
        <w:t>;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- 31.08.2022 № 1162 </w:t>
      </w:r>
      <w:r>
        <w:rPr>
          <w:sz w:val="28"/>
          <w:szCs w:val="28"/>
        </w:rPr>
        <w:t>о внесении изменений в постановление администрации Анжеро-Судженского городского округа от 30.08.2021 № 944 «Об утверждении муниципальной программы «Развитие и поддержка субъектов малого и среднего предпринимательства Анжеро-Судженского городского округа» на 2022 -2024 годы</w:t>
      </w:r>
      <w:r>
        <w:rPr>
          <w:kern w:val="1"/>
          <w:sz w:val="28"/>
          <w:szCs w:val="28"/>
        </w:rPr>
        <w:t>;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- 30.12.2022 № 1755 </w:t>
      </w:r>
      <w:r>
        <w:rPr>
          <w:sz w:val="28"/>
          <w:szCs w:val="28"/>
        </w:rPr>
        <w:t>о внесении изменений в постановление администрации Анжеро-Судженского городского округа от 30.08.2021 № 944 «Об утверждении муниципальной программы «Развитие и поддержка субъектов малого и среднего предпринимательства Анжеро-Судженского городского округа» на 2022 -2025 годы</w:t>
      </w:r>
      <w:r>
        <w:rPr>
          <w:kern w:val="1"/>
          <w:sz w:val="28"/>
          <w:szCs w:val="28"/>
        </w:rPr>
        <w:t xml:space="preserve">; 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- 19.04.2023 № 341 </w:t>
      </w:r>
      <w:r>
        <w:rPr>
          <w:sz w:val="28"/>
          <w:szCs w:val="28"/>
        </w:rPr>
        <w:t>о внесении изменений в постановление администрации Анжеро-Судженского городского округа от 30.08.2021 № 944 «Об утверждении муниципальной   программы «Развитие  и поддержка субъектов малого и среднего предпринимательства Анжеро-Судженского городского округа» на 2022 -2025 годы</w:t>
      </w:r>
      <w:r>
        <w:rPr>
          <w:kern w:val="1"/>
          <w:sz w:val="28"/>
          <w:szCs w:val="28"/>
        </w:rPr>
        <w:t>;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- 29.08.2023 №798 </w:t>
      </w:r>
      <w:r>
        <w:rPr>
          <w:sz w:val="28"/>
          <w:szCs w:val="28"/>
        </w:rPr>
        <w:t>о внесении изменений в постановление администрации Анжеро-Судженского городского округа от 30.08.2021 № 944 «Об утверждении муниципальной   программы «Развитие  и поддержка субъектов малого и среднего предпринимательства Анжеро-Судженского городского округа» на 2022 -2025 годы</w:t>
      </w:r>
      <w:r>
        <w:rPr>
          <w:kern w:val="1"/>
          <w:sz w:val="28"/>
          <w:szCs w:val="28"/>
        </w:rPr>
        <w:t>;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- 27.12.2023 №1213 </w:t>
      </w:r>
      <w:r>
        <w:rPr>
          <w:sz w:val="28"/>
          <w:szCs w:val="28"/>
          <w:lang w:eastAsia="zh-cn"/>
        </w:rPr>
        <w:t>о внесении изменений в постановление администрации Анжеро-Судженского городского округа от 30.08.2021 № 944 «Об утверждении муниципальной программы «Развитие и поддержка субъектов малого и среднего предпринимательства Анжеро-Судженского городского округа» на 2022 -2026 годы</w:t>
      </w:r>
      <w:r>
        <w:rPr>
          <w:kern w:val="1"/>
          <w:sz w:val="28"/>
          <w:szCs w:val="28"/>
        </w:rPr>
        <w:t>;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- 14.02.2024 №108 </w:t>
      </w:r>
      <w:r>
        <w:rPr>
          <w:sz w:val="28"/>
          <w:szCs w:val="28"/>
        </w:rPr>
        <w:t>о внесении изменений в постановление администрации Анжеро-Судженского городского округа от 30.08.2021 № 944 «Об утверждении муниципальной программы «Развитие и поддержка субъектов малого и среднего предпринимательства Анжеро-Судженского городского округа» на 2022 -2026 годы</w:t>
      </w:r>
      <w:r>
        <w:rPr>
          <w:kern w:val="1"/>
          <w:sz w:val="28"/>
          <w:szCs w:val="28"/>
        </w:rPr>
        <w:t>;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- 20.08.2024 №676 о внесении изменений в постановление администрации Анжеро-Судженского городского округа от 30.08.2021 № 944 «Об утверждении муниципальной программы «Развитие и поддержка субъектов малого и среднего предпринимательства Анжеро-Судженского городского округа» на 2022 -2026 годы; 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- 21.03.2025 № 394 о внесении изменений в постановление администрации Анжеро-Судженского городского округа от 30.08.2021 № 944 «Об утверждении муниципальной программы «Развитие и поддержка субъектов малого и среднего предпринимательства Анжеро-Судженского городского округа» на 2022 -2027 годы;</w:t>
      </w:r>
    </w:p>
    <w:p>
      <w:pPr>
        <w:ind w:firstLine="708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- 04.08.2025 №766 внесении изменений в постановление администрации Анжеро-Судженского городского округа от 30.08.2021 № 944 «Об утверждении муниципальной программы «Развитие и поддержка субъектов малого и среднего предпринимательства Анжеро-Судженского городского округа» на 2022 -2027 годы.</w:t>
      </w:r>
    </w:p>
    <w:p>
      <w:pPr>
        <w:ind w:firstLine="709"/>
        <w:spacing/>
        <w:jc w:val="both"/>
        <w:rPr>
          <w:kern w:val="1"/>
        </w:rPr>
      </w:pPr>
      <w:r>
        <w:rPr>
          <w:color w:val="000000"/>
          <w:kern w:val="1"/>
          <w:sz w:val="28"/>
          <w:szCs w:val="28"/>
        </w:rPr>
        <w:t xml:space="preserve">3. Ответственному исполнителю муниципальной программы </w:t>
      </w:r>
      <w:r>
        <w:rPr>
          <w:b/>
          <w:kern w:val="1"/>
          <w:sz w:val="28"/>
          <w:szCs w:val="28"/>
        </w:rPr>
        <w:t>«</w:t>
      </w:r>
      <w:r>
        <w:rPr>
          <w:kern w:val="1"/>
          <w:sz w:val="28"/>
          <w:szCs w:val="28"/>
        </w:rPr>
        <w:t>Развитие и поддержка субъектов малого и среднего предпринимательства Анжеро-Судженского городского округа»</w:t>
      </w:r>
      <w:r>
        <w:rPr>
          <w:color w:val="000000"/>
          <w:kern w:val="1"/>
          <w:sz w:val="28"/>
          <w:szCs w:val="28"/>
        </w:rPr>
        <w:t xml:space="preserve"> разместить настоящее постановление в течение 10 рабочих дней со дня официального опубликования в информационно – телекоммуникационной сети «Интернет» на официальных сайтах:</w:t>
      </w:r>
      <w:r>
        <w:rPr>
          <w:kern w:val="1"/>
        </w:rPr>
      </w:r>
    </w:p>
    <w:p>
      <w:pPr>
        <w:ind w:firstLine="709"/>
        <w:spacing/>
        <w:jc w:val="both"/>
        <w:tabs defTabSz="708">
          <w:tab w:val="left" w:pos="-6663" w:leader="none"/>
        </w:tabs>
        <w:rPr>
          <w:kern w:val="1"/>
        </w:rPr>
      </w:pPr>
      <w:r>
        <w:rPr>
          <w:color w:val="000000"/>
          <w:kern w:val="1"/>
          <w:sz w:val="28"/>
          <w:szCs w:val="28"/>
        </w:rPr>
        <w:t>3.1. Министерства экономического развития Российской Федерации, внесение изменений в федеральный государственный реестр документов стратегического планирования посредством заполнения электронных форм уведомлений в государственной автоматизированной системе «Управление», электронный адрес: http://gasu.gov.ru .</w:t>
      </w:r>
      <w:r>
        <w:rPr>
          <w:kern w:val="1"/>
        </w:rPr>
      </w:r>
    </w:p>
    <w:p>
      <w:pPr>
        <w:ind w:firstLine="709"/>
        <w:spacing/>
        <w:jc w:val="both"/>
        <w:tabs defTabSz="708">
          <w:tab w:val="left" w:pos="-6663" w:leader="none"/>
        </w:tabs>
        <w:rPr>
          <w:kern w:val="1"/>
        </w:rPr>
      </w:pPr>
      <w:r>
        <w:rPr>
          <w:color w:val="000000"/>
          <w:kern w:val="1"/>
          <w:sz w:val="28"/>
          <w:szCs w:val="28"/>
        </w:rPr>
        <w:t xml:space="preserve">3.2. Анжеро-Судженского городского округа, электронный адрес: </w:t>
      </w:r>
      <w:hyperlink r:id="rId9" w:history="1">
        <w:r>
          <w:rPr>
            <w:color w:val="000000"/>
            <w:kern w:val="1"/>
            <w:sz w:val="28"/>
            <w:szCs w:val="28"/>
            <w:lang w:val="en-us"/>
          </w:rPr>
          <w:t>www</w:t>
        </w:r>
        <w:r>
          <w:rPr>
            <w:color w:val="000000"/>
            <w:kern w:val="1"/>
            <w:sz w:val="28"/>
            <w:szCs w:val="28"/>
          </w:rPr>
          <w:t>.</w:t>
        </w:r>
        <w:r>
          <w:rPr>
            <w:color w:val="000000"/>
            <w:kern w:val="1"/>
            <w:sz w:val="28"/>
            <w:szCs w:val="28"/>
            <w:lang w:val="en-us"/>
          </w:rPr>
          <w:t>anzhero</w:t>
        </w:r>
        <w:r>
          <w:rPr>
            <w:color w:val="000000"/>
            <w:kern w:val="1"/>
            <w:sz w:val="28"/>
            <w:szCs w:val="28"/>
          </w:rPr>
          <w:t>.</w:t>
        </w:r>
        <w:r>
          <w:rPr>
            <w:color w:val="000000"/>
            <w:kern w:val="1"/>
            <w:sz w:val="28"/>
            <w:szCs w:val="28"/>
            <w:lang w:val="en-us"/>
          </w:rPr>
          <w:t>ru</w:t>
        </w:r>
      </w:hyperlink>
      <w:r>
        <w:rPr>
          <w:kern w:val="1"/>
          <w:sz w:val="28"/>
          <w:szCs w:val="28"/>
        </w:rPr>
        <w:t>.</w:t>
      </w:r>
      <w:r>
        <w:rPr>
          <w:kern w:val="1"/>
        </w:rPr>
      </w:r>
    </w:p>
    <w:p>
      <w:pPr>
        <w:ind w:firstLine="709"/>
        <w:spacing/>
        <w:jc w:val="both"/>
        <w:tabs defTabSz="708">
          <w:tab w:val="left" w:pos="-6663" w:leader="none"/>
        </w:tabs>
        <w:rPr>
          <w:kern w:val="1"/>
        </w:rPr>
      </w:pPr>
      <w:r>
        <w:rPr>
          <w:color w:val="000000"/>
          <w:kern w:val="1"/>
          <w:sz w:val="28"/>
          <w:szCs w:val="28"/>
        </w:rPr>
        <w:t>4. Настоящее постановление подлежит опубликованию в массовой газете Анжеро-Судженского городского округа «Наш город».</w:t>
      </w:r>
      <w:r>
        <w:rPr>
          <w:kern w:val="1"/>
        </w:rPr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5. Контроль за исполнением настоящего постановления </w:t>
      </w:r>
      <w:r>
        <w:rPr>
          <w:kern w:val="1"/>
          <w:sz w:val="28"/>
          <w:szCs w:val="28"/>
        </w:rPr>
        <w:t>возложить на заместителя главы городского округа по вопросам экономики, промышленности, потребительского рынка, связи.</w:t>
      </w:r>
    </w:p>
    <w:p>
      <w:pPr>
        <w:ind w:firstLine="709"/>
        <w:spacing/>
        <w:jc w:val="both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6. Постановление вступает в силу с 01.01.2026 года.</w:t>
      </w:r>
    </w:p>
    <w:p>
      <w:pPr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pPr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pPr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pPr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Глава городского округа                                                         Д.В. Ажичаков</w:t>
      </w:r>
    </w:p>
    <w:p>
      <w:pPr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r/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0"/>
          <w:type w:val="nextPage"/>
          <w:pgSz w:h="16838" w:w="11906"/>
          <w:pgMar w:left="1701" w:top="1134" w:right="850" w:bottom="1134" w:header="340" w:footer="0"/>
          <w:paperSrc w:first="0" w:other="0" a="0" b="0"/>
          <w:pgNumType w:fmt="decimal"/>
          <w:titlePg/>
          <w:tmGutter w:val="5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rPr>
          <w:color w:val="000000"/>
        </w:rPr>
      </w:pPr>
      <w:r>
        <w:rPr>
          <w:b/>
          <w:color w:val="000000"/>
          <w:sz w:val="28"/>
        </w:rPr>
        <w:t>МУНИЦИПАЛЬНАЯ ПРОГРАММА</w:t>
      </w:r>
      <w:r>
        <w:rPr>
          <w:color w:val="000000"/>
        </w:rPr>
      </w:r>
    </w:p>
    <w:p>
      <w:pPr>
        <w:spacing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</w:r>
    </w:p>
    <w:p>
      <w:pPr>
        <w:spacing/>
        <w:jc w:val="center"/>
        <w:rPr>
          <w:color w:val="000000"/>
        </w:rPr>
      </w:pPr>
      <w:r>
        <w:rPr>
          <w:b/>
          <w:color w:val="000000"/>
          <w:sz w:val="28"/>
        </w:rPr>
        <w:t xml:space="preserve"> «</w:t>
      </w:r>
      <w:r>
        <w:rPr>
          <w:b/>
          <w:kern w:val="1"/>
          <w:sz w:val="28"/>
          <w:szCs w:val="28"/>
        </w:rPr>
        <w:t>Развитие и поддержка субъектов малого и среднего предпринимательства Анжеро-Судженского городского округа</w:t>
      </w:r>
      <w:r>
        <w:rPr>
          <w:b/>
          <w:color w:val="000000"/>
          <w:sz w:val="28"/>
        </w:rPr>
        <w:t>»</w:t>
      </w:r>
      <w:r>
        <w:rPr>
          <w:color w:val="000000"/>
        </w:rPr>
      </w:r>
    </w:p>
    <w:p>
      <w:pPr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1"/>
          <w:type w:val="nextPage"/>
          <w:pgSz w:h="16838" w:w="11906"/>
          <w:pgMar w:left="1701" w:top="1134" w:right="850" w:bottom="1134" w:header="340" w:footer="0"/>
          <w:paperSrc w:first="0" w:other="0" a="0" b="0"/>
          <w:pgNumType w:fmt="decimal"/>
          <w:titlePg/>
          <w:tmGutter w:val="5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Стратегические приоритеты в сфере реализации муниципальной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eastAsia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 </w:t>
      </w:r>
      <w:r>
        <w:rPr>
          <w:rFonts w:ascii="Times New Roman" w:hAnsi="Times New Roman" w:eastAsia="Times New Roman" w:cs="Times New Roman"/>
          <w:kern w:val="1"/>
          <w:sz w:val="28"/>
          <w:szCs w:val="28"/>
        </w:rPr>
        <w:t>«Развитие и поддержка субъектов малого и среднего предпринимательства Анжеро-Судженского городского округа»</w:t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eastAsia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Оценка текущего состояния </w:t>
      </w:r>
      <w:r>
        <w:rPr>
          <w:rFonts w:ascii="Times New Roman" w:hAnsi="Times New Roman" w:eastAsia="Times New Roman" w:cs="Times New Roman"/>
          <w:kern w:val="1"/>
          <w:sz w:val="28"/>
          <w:szCs w:val="28"/>
        </w:rPr>
        <w:t>малого и среднего предпринимательства в Анжеро-Судженском городском округе</w:t>
      </w:r>
    </w:p>
    <w:p>
      <w:pPr>
        <w:spacing/>
        <w:jc w:val="both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</w:r>
    </w:p>
    <w:p>
      <w:pPr>
        <w:ind w:firstLine="709"/>
        <w:spacing/>
        <w:jc w:val="both"/>
        <w:tabs defTabSz="708"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В целях создания благоприятных условий для развития малого и среднего предпринимательства, в соответствии с Федеральным законом от 24.07.2007 № 209-ФЗ «О развитии малого и среднего предпринимательства в Российской Федерации», Указом Президента от 07.05.2018г. № 204 «О национальных целях и стратегических задачах развития Российской Федерации на период до 2024 года», Законом Кемеровской области от 27.12.2007 № 187-ОЗ «О развитии малого и среднего предпринимательства», в соответствии со статьей 179 Бюджетного кодекса Российской Федерации и постановлением администрации Анжеро-Судженского городского округа 16.09.2013 № 1286 «Об утверждении Положения о муниципальных программах Анжеро-Судженского городского округа»  (в редакции от 26.08.15 № 1270, от 31.03.2016 № 449, от 03.04.2017 № 621, от 02.09.2017 № 1647, от 14.08.2019 № 996) принята и реализуется муниципальная программа Анжеро-Судженского городского округа «Развитие и поддержка субъектов малого и среднего предпринимательства Анжеро-Судженского городского округа» утвержденная постановлением Администрации Анжеро-Судженского городского округа.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Малое предпринимательство – это совокупность экономических и социальных отношений, связанных с обеспечением жителей городского округа рабочими местами и необходимыми им товарами, и услугами. Малое предпринимательство в значительной степени способствует формированию конкурентной среды, а также установлению рыночного равновесия.</w:t>
      </w:r>
    </w:p>
    <w:p>
      <w:pPr>
        <w:ind w:firstLine="709"/>
        <w:spacing/>
        <w:jc w:val="both"/>
        <w:tabs defTabSz="708"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Проблемы развития малого предпринимательства являются одними из важнейших для социально-экономического развития Анжеро-Судженского городского округа, т.к. создание дополнительных рабочих мест способствует повышению материального благосостояния населения и увеличению объемов налоговых поступлений в местный бюджет. Поэтому на уровне города необходима поддержка субъектов малого предпринимательства.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На 01.07.2025 года фактическое число субъектов малого и среднего предпринимательства по Анжеро-Судженскому городскому округу составило 1156 человек. 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Динамика основных показателей деятельности субъектов предпринимательства выглядит следующим образом: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Число субъектов малого и среднего предпринимательства на 10 тысяч человек населения за 6 месяцев 2025 года составило 169 ед. Доля среднесписочной численности работников малых предприятий в среднесписочной численности работников всех предприятий и организаций – 13,8%.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Сфера торговли и общественного питания остается более привлекательной для малых и средних предприятий, чем промышленность. Привлекательность данной сферы объясняется, прежде всего, относительно быстрой окупаемостью вложенных средств, стабильным потребительским спросом.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В рамках реализации программы за 6 месяцев 2025 года создано 139 новых рабочих мест.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Большой вклад в развитие малого предпринимательства вносит Центр поддержки малого и среднего предпринимательства, В среднем за год в Центр обращается около 250 человек. Основные направления работы Центра: консультационная, образовательная, организационная, информационная, аналитическая, инвестиционная.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Инфраструктура поддержки малого и среднего предпринимательства включает: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1.Муниципальный некоммерческий фонд поддержки малого и среднего предпринимательства, который предоставляет услуги по следующим направлениям: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 разработка, проведение экспертизы бизнес - проектов, бизнес – предложений;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 консультирование субъектов малого и среднего предпринимательства по вопросам коммерческой деятельности и управления.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 предоставление образовательных услуг (имеется лицензия № 14957 от 10.04.2015г., срок действия - бессрочно): получение дополнительного образования или повышение квалификации по 6 программам, проведение семинаров;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-предоставление льготных займов субъектам малого и среднего предпринимательства.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2. Совет предпринимателей при главе Анжеро-Судженского городского округа создан 28 января 2003г. Основной целью, которого является содействие развитию предпринимательства, привлечение малого и среднего бизнеса к решению социально-экономических задач на территории муниципального образования.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3. Кредитно-финансовые организации (коммерческие банки-7, потребительские кооперативы - 1).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Сдерживают развитие малого и среднего предпринимательства следующие проблемы: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-кредиты, в том числе долгосрочные инвестиционные недоступны для большинства субъектов малого предпринимательства, особенно для начинающих предпринимателей, из-за высокой стоимости кредитных продуктов в банковских структурах;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-потребности в финансовых ресурсах значительно превышают имеющиеся возможности бюджета;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-слабая имущественная база малых предприятий, сложность приобретения помещений в собственность, в первую очередь предприятий, находящихся на начальном этапе становления;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-непосильная налоговая нагрузка на малый бизнес;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-ограниченное количество инновационных проектов субъектов малого и среднего предпринимательства, имеющих коммерческие перспективы;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-невозможность реализовывать продукцию местных производителей через региональные и федеральные торговые сети;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-рост энерготарифов.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Муниципальная  программа </w:t>
      </w:r>
      <w:r>
        <w:rPr>
          <w:kern w:val="1"/>
          <w:sz w:val="28"/>
          <w:szCs w:val="22"/>
        </w:rPr>
        <w:t xml:space="preserve">«Развитие и поддержка субъектов малого и среднего предпринимательства Анжеро-Судженского городского округа» на 2026-2030 годы </w:t>
      </w:r>
      <w:r>
        <w:rPr>
          <w:kern w:val="1"/>
          <w:sz w:val="28"/>
          <w:szCs w:val="28"/>
        </w:rPr>
        <w:t>является системным документом, направленным на создание благоприятных условий для развития субъектов малого и среднего предпринимательства, занятых производством и реализацией товарной продукции, оказанием услуг населению, осуществляющих приоритетные виды деятельности на территории города, также создание новых рабочих мест и увеличение доходов местного бюджета;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Программный подход позволит проводить планомерную работу по созданию более благоприятного предпринимательского климата в городском округе объединения с этой целью усилий органов местного самоуправления, субъектов инфраструктуры поддержки предпринимательства и предпринимателей городского округа.</w:t>
      </w:r>
    </w:p>
    <w:p>
      <w:pPr>
        <w:ind w:firstLine="709"/>
        <w:spacing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Описание приоритетов и целей муниципальной политики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сфере реализации муниципальной программы</w:t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Целями настоящей программы являются создание благоприятных условий для развития субъектов малого и среднего предпринимательства, занятых производством и реализацией товарной продукции, оказанием услуг населению, осуществляющих приоритетные виды деятельности на территории города, также создание новых рабочих мест и увеличение доходов местного бюджета;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Задачи программы: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-совершенствование нормативно-правовой базы в сфере поддержки малого и среднего предпринимательства;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-развитие малого и среднего предпринимательства в производственной сфере и сфере услуг, увеличение числа субъектов малого предпринимательства;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-осуществление кредитно-финансовой, имущественной поддержки субъектов малого и среднего предпринимательства;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-содействие формированию положительного имиджа предпринимательской деятельности;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-максимальное удовлетворение потребностей субъектов малого и среднего предпринимательства в информационных и консультационных услугах;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-оказание финансовой поддержки субъектов малого и среднего предпринимательства;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-стимулирование инвестиционной деятельности, привлечение резидентов ТОСЭР в экономику городского округа.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Поддержка субъектов малого и среднего предпринимательства в Анжеро-Судженском городском округе осуществляется по следующим приоритетным для города видам деятельности: 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-инновационная и научно-техническая деятельность;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-производство товаров народного потребления;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-производство строительных материалов;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-химическое производство;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-производство машин и оборудования;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-производство электрооборудования, электронного и оптического оборудования;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-производство, ремонт транспортных средств и оборудования;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-образование, здравоохранение, культура и спорт;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-транспорт и связь;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-общественное питание;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-строительство;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-переработка сельскохозяйственной продукции;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-деревообработка;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-жилищно-коммунальное хозяйство;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-бытовое обслуживание населения (социально значимые виды);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-ремесленная деятельность;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-туристическая деятельность, направленная на развитие внутреннего и въездного туризма в Кемеровской области;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-сельское хозяйство;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-сбор, заготовка и переработка дикоросов.</w:t>
      </w:r>
    </w:p>
    <w:p>
      <w:pPr>
        <w:spacing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Сведения о взаимосвязи со стратегическими приоритетами,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целями и показателями государственных программ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Кемеровской области - Кузбасса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14"/>
        <w: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14"/>
        <w:ind w:firstLine="540"/>
        <w: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Настоящая муниципальная программа имеет взаимоувязку с национальной целью «Достойный, эффективный труд и успешное предпринимательство» и направлен на достижение национального показателя </w:t>
      </w:r>
      <w:r>
        <w:rPr>
          <w:rFonts w:ascii="Times New Roman" w:hAnsi="Times New Roman" w:cs="Times New Roman"/>
          <w:sz w:val="28"/>
          <w:szCs w:val="28"/>
        </w:rPr>
        <w:t>«Увеличение численности занятых в сфере малого и среднего предпринимательства, включая индивидуальных предпринимателей и самозанятых, до 25 млн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Федерации. Кроме того взаимоувязан с мероприятиями программой Кемеровской области - Кузбасса </w:t>
      </w:r>
      <w:r>
        <w:rPr>
          <w:rFonts w:ascii="Times New Roman" w:hAnsi="Times New Roman" w:cs="Times New Roman"/>
          <w:sz w:val="28"/>
          <w:szCs w:val="28"/>
          <w:lang w:eastAsia="zh-cn" w:bidi="ar-sa"/>
        </w:rPr>
        <w:t>«Экономическое развитие и инновационная экономика Кузбасса».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>
      <w:pPr>
        <w:pStyle w:val="para14"/>
        <w:ind w:firstLine="540"/>
        <w: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Задачи муниципального управления и способы их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эффективного решения в сфере реализации муниципальной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</w:p>
    <w:p>
      <w:pPr>
        <w:pStyle w:val="para21"/>
        <w: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В рамках настоящей программы будут реализованы следующие основные мероприятия: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1. Сфомированпозитивный образ предпринимательства как важного фактора социально- экономического развития городского округа.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2. Созданы благоприятные условия для осуществления деятельности индивидуальными предпринимателямии самозанятыми гражданами по средствам примения нового режима налогооблажения и предоставления мер поддержки.</w:t>
      </w:r>
    </w:p>
    <w:p>
      <w:pPr>
        <w:ind w:firstLine="709"/>
        <w: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3. Созданы благоприятные условия для стимулирования инвестиционной деятельности.</w:t>
      </w:r>
    </w:p>
    <w:p>
      <w:pPr>
        <w:ind w:firstLine="709"/>
        <w:spacing/>
        <w:jc w:val="both"/>
        <w:tabs defTabSz="708">
          <w:tab w:val="left" w:pos="810" w:leader="none"/>
        </w:tabs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Освобождение от уплаты земельного налога организаций, реализующих инвестиционные проекты (в т.ч. резидентов ТОСЭР)</w:t>
      </w:r>
    </w:p>
    <w:p>
      <w:pPr>
        <w:ind w:firstLine="709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Консультационная, информационная поддержка субъектов МСП, формирование реестра субъектов предпринимательства, проведение круглых столов по проблемам малого и среднего предпринимательства. Предусматривается проведение обучающих семинаров, лекций по актуальным темам как для начинающих предпринимателей, в том числе для безработных граждан, социально незащищенных слоев населения, молодежи, так и для развивающихся предпринимателей, осуществляющих хозяйственную деятельность в приоритетных для муниципального образования сферах развития малого и среднего предпринимательства.</w:t>
      </w:r>
    </w:p>
    <w:p>
      <w:pPr>
        <w:ind w:firstLine="709"/>
        <w:spacing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</w:r>
    </w:p>
    <w:p>
      <w:pPr>
        <w:spacing/>
        <w:jc w:val="center"/>
        <w:rPr>
          <w:b/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t xml:space="preserve">5. Методика оценки эффективности реализации </w:t>
      </w:r>
      <w:r>
        <w:rPr>
          <w:b/>
          <w:kern w:val="1"/>
          <w:sz w:val="28"/>
          <w:szCs w:val="28"/>
        </w:rPr>
        <w:t>муниципальной программы</w:t>
      </w:r>
    </w:p>
    <w:p>
      <w:pPr>
        <w:ind w:firstLine="709"/>
        <w:spacing/>
        <w:jc w:val="both"/>
        <w:rPr>
          <w:rFonts w:ascii="PT Astra Serif" w:hAnsi="PT Astra Serif" w:cs="PT Astra Serif"/>
          <w:sz w:val="28"/>
          <w:szCs w:val="28"/>
        </w:rPr>
      </w:pPr>
      <w:bookmarkStart w:id="5" w:name="Par1392"/>
      <w:r>
        <w:rPr>
          <w:rFonts w:ascii="PT Astra Serif" w:hAnsi="PT Astra Serif" w:cs="PT Astra Serif"/>
          <w:sz w:val="28"/>
          <w:szCs w:val="28"/>
        </w:rPr>
      </w:r>
      <w:bookmarkEnd w:id="5"/>
      <w:r>
        <w:rPr>
          <w:rFonts w:ascii="PT Astra Serif" w:hAnsi="PT Astra Serif" w:cs="PT Astra Serif"/>
          <w:sz w:val="28"/>
          <w:szCs w:val="28"/>
        </w:rPr>
        <w:t>Оценка эффективности реализации программы (комплексной программы) осуществляется на основании информации и данных о ходе реализации программ (комплексной программы) (их структурных элементов), содержащихся в государственной интегрированной информационной системе управления общественными финансами "Электронный бюджет".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Оценка эффективности реализации программы (комплексной программы) проводится ответственным исполнителем (координатором) по единой методике оценки и представляется в отдел экономики за подписью куратора (директора) программы.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Единая методика оценки представляет собой алгоритм оценки фактической эффективности в процессе и по итогам реализации программы  (комплексной программы) и основана на оценке уровня достижения программы  (комплексной программы) и оценке качества финансового управления.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Оценка эффективности реализации программы (комплексной программы)  (R</w:t>
      </w:r>
      <w:r>
        <w:rPr>
          <w:rFonts w:ascii="PT Astra Serif" w:hAnsi="PT Astra Serif" w:cs="PT Astra Serif"/>
          <w:sz w:val="28"/>
          <w:szCs w:val="28"/>
          <w:vertAlign w:val="subscript"/>
        </w:rPr>
        <w:t>мп</w:t>
      </w:r>
      <w:r>
        <w:rPr>
          <w:rFonts w:ascii="PT Astra Serif" w:hAnsi="PT Astra Serif" w:cs="PT Astra Serif"/>
          <w:sz w:val="28"/>
          <w:szCs w:val="28"/>
        </w:rPr>
        <w:t>) рассчитывается как средневзвешенная оценка уровня достижения программы  (комплексной программы) (УД</w:t>
      </w:r>
      <w:r>
        <w:rPr>
          <w:rFonts w:ascii="PT Astra Serif" w:hAnsi="PT Astra Serif" w:cs="PT Astra Serif"/>
          <w:sz w:val="28"/>
          <w:szCs w:val="28"/>
          <w:vertAlign w:val="subscript"/>
        </w:rPr>
        <w:t>мп</w:t>
      </w:r>
      <w:r>
        <w:rPr>
          <w:rFonts w:ascii="PT Astra Serif" w:hAnsi="PT Astra Serif" w:cs="PT Astra Serif"/>
          <w:sz w:val="28"/>
          <w:szCs w:val="28"/>
        </w:rPr>
        <w:t>) в отчетном году (80 процентов интегральной оценки) и оценка качества финансового управления (ФУ</w:t>
      </w:r>
      <w:r>
        <w:rPr>
          <w:rFonts w:ascii="PT Astra Serif" w:hAnsi="PT Astra Serif" w:cs="PT Astra Serif"/>
          <w:sz w:val="28"/>
          <w:szCs w:val="28"/>
          <w:vertAlign w:val="subscript"/>
        </w:rPr>
        <w:t>мп</w:t>
      </w:r>
      <w:r>
        <w:rPr>
          <w:rFonts w:ascii="PT Astra Serif" w:hAnsi="PT Astra Serif" w:cs="PT Astra Serif"/>
          <w:sz w:val="28"/>
          <w:szCs w:val="28"/>
        </w:rPr>
        <w:t>) реализации программы (комплексной программы) в отчетном году (20 процентов интегральной оценки) по формуле: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pStyle w:val="para14"/>
        <w:ind w:firstLine="0"/>
        <w:spacing/>
        <w:jc w:val="center"/>
        <w:rPr>
          <w:rFonts w:ascii="PT Astra Serif" w:hAnsi="PT Astra Serif" w:cs="PT Astra Serif"/>
          <w:sz w:val="30"/>
          <w:szCs w:val="30"/>
        </w:rPr>
      </w:pPr>
      <w:r>
        <w:rPr>
          <w:rFonts w:ascii="PT Astra Serif" w:hAnsi="PT Astra Serif" w:cs="PT Astra Serif"/>
          <w:b/>
          <w:bCs/>
          <w:sz w:val="30"/>
          <w:szCs w:val="30"/>
        </w:rPr>
        <w:t>R</w:t>
      </w:r>
      <w:r>
        <w:rPr>
          <w:rFonts w:ascii="PT Astra Serif" w:hAnsi="PT Astra Serif" w:cs="PT Astra Serif"/>
          <w:b/>
          <w:bCs/>
          <w:sz w:val="30"/>
          <w:szCs w:val="30"/>
          <w:vertAlign w:val="subscript"/>
        </w:rPr>
        <w:t>мп</w:t>
      </w:r>
      <w:r>
        <w:rPr>
          <w:rFonts w:ascii="PT Astra Serif" w:hAnsi="PT Astra Serif" w:cs="PT Astra Serif"/>
          <w:b/>
          <w:bCs/>
          <w:sz w:val="30"/>
          <w:szCs w:val="30"/>
        </w:rPr>
        <w:t xml:space="preserve"> = 0,8 * УД</w:t>
      </w:r>
      <w:r>
        <w:rPr>
          <w:rFonts w:ascii="PT Astra Serif" w:hAnsi="PT Astra Serif" w:cs="PT Astra Serif"/>
          <w:b/>
          <w:bCs/>
          <w:sz w:val="30"/>
          <w:szCs w:val="30"/>
          <w:vertAlign w:val="subscript"/>
        </w:rPr>
        <w:t>мп</w:t>
      </w:r>
      <w:r>
        <w:rPr>
          <w:rFonts w:ascii="PT Astra Serif" w:hAnsi="PT Astra Serif" w:cs="PT Astra Serif"/>
          <w:b/>
          <w:bCs/>
          <w:sz w:val="30"/>
          <w:szCs w:val="30"/>
        </w:rPr>
        <w:t xml:space="preserve"> + 0,2 * ФУ</w:t>
      </w:r>
      <w:r>
        <w:rPr>
          <w:rFonts w:ascii="PT Astra Serif" w:hAnsi="PT Astra Serif" w:cs="PT Astra Serif"/>
          <w:b/>
          <w:bCs/>
          <w:sz w:val="30"/>
          <w:szCs w:val="30"/>
          <w:vertAlign w:val="subscript"/>
        </w:rPr>
        <w:t>мп</w:t>
      </w:r>
      <w:r>
        <w:rPr>
          <w:rFonts w:ascii="PT Astra Serif" w:hAnsi="PT Astra Serif" w:cs="PT Astra Serif"/>
          <w:sz w:val="30"/>
          <w:szCs w:val="30"/>
        </w:rPr>
        <w:t xml:space="preserve"> , </w:t>
      </w:r>
    </w:p>
    <w:p>
      <w:pPr>
        <w:pStyle w:val="para14"/>
        <w:ind w:firstLine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30"/>
          <w:szCs w:val="30"/>
        </w:rPr>
        <w:t>где: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para14"/>
        <w:ind w:firstLine="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R</w:t>
      </w:r>
      <w:r>
        <w:rPr>
          <w:rFonts w:ascii="PT Astra Serif" w:hAnsi="PT Astra Serif" w:cs="PT Astra Serif"/>
          <w:sz w:val="28"/>
          <w:szCs w:val="28"/>
          <w:vertAlign w:val="subscript"/>
        </w:rPr>
        <w:t>мп</w:t>
      </w:r>
      <w:r>
        <w:rPr>
          <w:rFonts w:ascii="PT Astra Serif" w:hAnsi="PT Astra Serif" w:cs="PT Astra Serif"/>
          <w:sz w:val="28"/>
          <w:szCs w:val="28"/>
        </w:rPr>
        <w:t xml:space="preserve"> - оценка эффективности реализации i-й программы (комплексной программы);</w:t>
      </w:r>
    </w:p>
    <w:p>
      <w:pPr>
        <w:pStyle w:val="para14"/>
        <w:ind w:firstLine="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</w:t>
      </w:r>
      <w:r>
        <w:rPr>
          <w:rFonts w:ascii="PT Astra Serif" w:hAnsi="PT Astra Serif" w:cs="PT Astra Serif"/>
          <w:sz w:val="28"/>
          <w:szCs w:val="28"/>
          <w:vertAlign w:val="subscript"/>
        </w:rPr>
        <w:t>мп</w:t>
      </w:r>
      <w:r>
        <w:rPr>
          <w:rFonts w:ascii="PT Astra Serif" w:hAnsi="PT Astra Serif" w:cs="PT Astra Serif"/>
          <w:sz w:val="28"/>
          <w:szCs w:val="28"/>
        </w:rPr>
        <w:t xml:space="preserve"> - уровень достижения программы (комплексной программы);</w:t>
      </w:r>
    </w:p>
    <w:p>
      <w:pPr>
        <w:pStyle w:val="para14"/>
        <w:ind w:firstLine="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ФУ</w:t>
      </w:r>
      <w:r>
        <w:rPr>
          <w:rFonts w:ascii="PT Astra Serif" w:hAnsi="PT Astra Serif" w:cs="PT Astra Serif"/>
          <w:sz w:val="28"/>
          <w:szCs w:val="28"/>
          <w:vertAlign w:val="subscript"/>
        </w:rPr>
        <w:t>мп</w:t>
      </w:r>
      <w:r>
        <w:rPr>
          <w:rFonts w:ascii="PT Astra Serif" w:hAnsi="PT Astra Serif" w:cs="PT Astra Serif"/>
          <w:sz w:val="28"/>
          <w:szCs w:val="28"/>
        </w:rPr>
        <w:t xml:space="preserve"> - оценка качества финансового управления реализацией программы (комплексной программы). </w:t>
      </w:r>
    </w:p>
    <w:p>
      <w:pPr>
        <w:pStyle w:val="para14"/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Уровень достижения программы (комплексной программы) (УДмп) за отчетный период рассчитывается по формуле:</w:t>
      </w:r>
    </w:p>
    <w:p>
      <w:pPr>
        <w:pStyle w:val="para14"/>
        <w:ind w:firstLine="54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pStyle w:val="para14"/>
        <w:ind w:firstLine="0"/>
        <w:spacing/>
        <w:jc w:val="center"/>
        <w:rPr>
          <w:rFonts w:ascii="PT Astra Serif" w:hAnsi="PT Astra Serif" w:cs="PT Astra Serif"/>
          <w:sz w:val="30"/>
          <w:szCs w:val="30"/>
        </w:rPr>
      </w:pPr>
      <w:r>
        <w:rPr>
          <w:rFonts w:ascii="PT Astra Serif" w:hAnsi="PT Astra Serif" w:cs="PT Astra Serif"/>
          <w:b/>
          <w:bCs/>
          <w:sz w:val="30"/>
          <w:szCs w:val="30"/>
        </w:rPr>
        <w:t>УД</w:t>
      </w:r>
      <w:r>
        <w:rPr>
          <w:rFonts w:ascii="PT Astra Serif" w:hAnsi="PT Astra Serif" w:cs="PT Astra Serif"/>
          <w:b/>
          <w:bCs/>
          <w:sz w:val="30"/>
          <w:szCs w:val="30"/>
          <w:vertAlign w:val="subscript"/>
        </w:rPr>
        <w:t>мп</w:t>
      </w:r>
      <w:r>
        <w:rPr>
          <w:rFonts w:ascii="PT Astra Serif" w:hAnsi="PT Astra Serif" w:cs="PT Astra Serif"/>
          <w:b/>
          <w:bCs/>
          <w:sz w:val="30"/>
          <w:szCs w:val="30"/>
        </w:rPr>
        <w:t xml:space="preserve"> = 0,5 * УД</w:t>
      </w:r>
      <w:r>
        <w:rPr>
          <w:rFonts w:ascii="PT Astra Serif" w:hAnsi="PT Astra Serif" w:cs="PT Astra Serif"/>
          <w:b/>
          <w:bCs/>
          <w:sz w:val="30"/>
          <w:szCs w:val="30"/>
          <w:vertAlign w:val="subscript"/>
        </w:rPr>
        <w:t>п</w:t>
      </w:r>
      <w:r>
        <w:rPr>
          <w:rFonts w:ascii="PT Astra Serif" w:hAnsi="PT Astra Serif" w:cs="PT Astra Serif"/>
          <w:b/>
          <w:bCs/>
          <w:sz w:val="30"/>
          <w:szCs w:val="30"/>
        </w:rPr>
        <w:t xml:space="preserve"> + 0,5 * УД</w:t>
      </w:r>
      <w:r>
        <w:rPr>
          <w:rFonts w:ascii="PT Astra Serif" w:hAnsi="PT Astra Serif" w:cs="PT Astra Serif"/>
          <w:b/>
          <w:bCs/>
          <w:sz w:val="30"/>
          <w:szCs w:val="30"/>
          <w:vertAlign w:val="subscript"/>
        </w:rPr>
        <w:t>стр.эл.</w:t>
      </w:r>
      <w:r>
        <w:rPr>
          <w:rFonts w:ascii="PT Astra Serif" w:hAnsi="PT Astra Serif" w:cs="PT Astra Serif"/>
          <w:sz w:val="30"/>
          <w:szCs w:val="30"/>
        </w:rPr>
        <w:t xml:space="preserve"> , </w:t>
      </w:r>
    </w:p>
    <w:p>
      <w:pPr>
        <w:pStyle w:val="para14"/>
        <w:ind w:firstLine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30"/>
          <w:szCs w:val="30"/>
        </w:rPr>
        <w:t>где: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para14"/>
        <w:ind w:firstLine="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</w:t>
      </w:r>
      <w:r>
        <w:rPr>
          <w:rFonts w:ascii="PT Astra Serif" w:hAnsi="PT Astra Serif" w:cs="PT Astra Serif"/>
          <w:sz w:val="28"/>
          <w:szCs w:val="28"/>
          <w:vertAlign w:val="subscript"/>
        </w:rPr>
        <w:t>п</w:t>
      </w:r>
      <w:r>
        <w:rPr>
          <w:rFonts w:ascii="PT Astra Serif" w:hAnsi="PT Astra Serif" w:cs="PT Astra Serif"/>
          <w:sz w:val="28"/>
          <w:szCs w:val="28"/>
        </w:rPr>
        <w:t xml:space="preserve"> - уровень достижения показателей программы (комплексной программы)  в отчетном периоде;</w:t>
      </w:r>
    </w:p>
    <w:p>
      <w:pPr>
        <w:pStyle w:val="para14"/>
        <w:ind w:firstLine="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стр.эл.</w:t>
      </w:r>
      <w:r>
        <w:rPr>
          <w:rFonts w:ascii="PT Astra Serif" w:hAnsi="PT Astra Serif" w:cs="PT Astra Serif"/>
          <w:sz w:val="28"/>
          <w:szCs w:val="28"/>
        </w:rPr>
        <w:t xml:space="preserve"> - уровень достижения структурных элементов программы (комплексной программы) в отчетном периоде.</w:t>
      </w:r>
    </w:p>
    <w:p>
      <w:pPr>
        <w:pStyle w:val="para14"/>
        <w:ind w:firstLine="54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расчет уровня достижения программы (комплексной программы) не включаются аналитические показатели программы (комплексной программы).</w:t>
      </w:r>
    </w:p>
    <w:p>
      <w:pPr>
        <w:pStyle w:val="para14"/>
        <w:ind w:firstLine="54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если показатель включен одновременно в паспорт программы (комплексной программы) и в паспорт структурного элемента программы (комплексной программы), то в расчете уровня достижения программы  (комплексной программы) такой показатель учитывается единожды как показатель уровня программы (комплексной программы).</w:t>
      </w:r>
    </w:p>
    <w:p>
      <w:pPr>
        <w:pStyle w:val="para14"/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Уровень достижения показателей программы (комплексной программы) (УД</w:t>
      </w:r>
      <w:r>
        <w:rPr>
          <w:rFonts w:ascii="PT Astra Serif" w:hAnsi="PT Astra Serif" w:cs="PT Astra Serif"/>
          <w:sz w:val="28"/>
          <w:szCs w:val="28"/>
          <w:vertAlign w:val="subscript"/>
        </w:rPr>
        <w:t>п</w:t>
      </w:r>
      <w:r>
        <w:rPr>
          <w:rFonts w:ascii="PT Astra Serif" w:hAnsi="PT Astra Serif" w:cs="PT Astra Serif"/>
          <w:sz w:val="28"/>
          <w:szCs w:val="28"/>
        </w:rPr>
        <w:t>) в отчетном периоде рассчитывается исходя из среднего значения уровней достижения всех показателей программы  (комплексной программы) по формуле:</w:t>
      </w:r>
    </w:p>
    <w:p>
      <w:pPr>
        <w:pStyle w:val="para14"/>
        <w:ind w:firstLine="54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pStyle w:val="para14"/>
        <w:ind w:firstLine="0"/>
        <w:spacing/>
        <w:jc w:val="center"/>
        <w:rPr>
          <w:rFonts w:ascii="PT Astra Serif" w:hAnsi="PT Astra Serif" w:eastAsia="PT Astra Serif" w:cs="PT Astra Serif"/>
          <w:b/>
          <w:sz w:val="30"/>
          <w:szCs w:val="30"/>
          <w:vertAlign w:val="subscript"/>
        </w:rPr>
      </w:pPr>
      <w:r>
        <w:rPr>
          <w:rFonts w:ascii="PT Astra Serif" w:hAnsi="PT Astra Serif" w:cs="PT Astra Serif"/>
          <w:b/>
          <w:sz w:val="30"/>
          <w:szCs w:val="30"/>
        </w:rPr>
        <w:t>УД</w:t>
      </w:r>
      <w:r>
        <w:rPr>
          <w:rFonts w:ascii="PT Astra Serif" w:hAnsi="PT Astra Serif" w:cs="PT Astra Serif"/>
          <w:b/>
          <w:sz w:val="30"/>
          <w:szCs w:val="30"/>
          <w:vertAlign w:val="subscript"/>
        </w:rPr>
        <w:t xml:space="preserve">п </w:t>
      </w:r>
      <w:r>
        <w:rPr>
          <w:rFonts w:ascii="PT Astra Serif" w:hAnsi="PT Astra Serif" w:cs="PT Astra Serif"/>
          <w:b/>
          <w:sz w:val="30"/>
          <w:szCs w:val="30"/>
        </w:rPr>
        <w:t>= Ʃ УД</w:t>
      </w:r>
      <w:r>
        <w:rPr>
          <w:rFonts w:ascii="PT Astra Serif" w:hAnsi="PT Astra Serif" w:cs="PT Astra Serif"/>
          <w:b/>
          <w:sz w:val="30"/>
          <w:szCs w:val="30"/>
          <w:u w:color="auto" w:val="single"/>
          <w:vertAlign w:val="subscript"/>
        </w:rPr>
        <w:t>пi</w:t>
      </w:r>
      <w:r>
        <w:rPr>
          <w:rFonts w:ascii="PT Astra Serif" w:hAnsi="PT Astra Serif" w:cs="PT Astra Serif"/>
          <w:b/>
          <w:sz w:val="30"/>
          <w:szCs w:val="30"/>
          <w:vertAlign w:val="subscript"/>
        </w:rPr>
        <w:t xml:space="preserve"> </w:t>
      </w:r>
      <w:r>
        <w:rPr>
          <w:rFonts w:ascii="PT Astra Serif" w:hAnsi="PT Astra Serif" w:cs="PT Astra Serif"/>
          <w:b/>
          <w:sz w:val="30"/>
          <w:szCs w:val="30"/>
        </w:rPr>
        <w:t>/ P ,</w:t>
      </w:r>
      <w:r>
        <w:rPr>
          <w:rFonts w:ascii="PT Astra Serif" w:hAnsi="PT Astra Serif" w:eastAsia="PT Astra Serif" w:cs="PT Astra Serif"/>
          <w:b/>
          <w:sz w:val="30"/>
          <w:szCs w:val="30"/>
          <w:vertAlign w:val="subscript"/>
        </w:rPr>
      </w:r>
    </w:p>
    <w:p>
      <w:pPr>
        <w:pStyle w:val="para14"/>
        <w:ind w:firstLine="0"/>
        <w:spacing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30"/>
          <w:szCs w:val="30"/>
          <w:vertAlign w:val="subscript"/>
        </w:rPr>
        <w:t xml:space="preserve">      </w:t>
      </w:r>
      <w:r>
        <w:rPr>
          <w:rFonts w:ascii="PT Astra Serif" w:hAnsi="PT Astra Serif" w:eastAsia="PT Astra Serif" w:cs="PT Astra Serif"/>
          <w:b/>
          <w:sz w:val="30"/>
          <w:szCs w:val="30"/>
        </w:rPr>
        <w:t xml:space="preserve">  </w:t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УДпi - уровень достижения i-го показателя программы (комплексной программы);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P - количество показателей программы (комплексной программы).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Базовой формулой для расчета уровня достижения показателя (УДпi), для которого возможно осуществление расчета, при достижении его не в полном объеме и на дату расчета уровня достижения которого наступила плановая дата его достижения или имеется информация о фактическом досрочном достижении, является:</w:t>
      </w:r>
    </w:p>
    <w:p>
      <w:pPr>
        <w:spacing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851"/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 xml:space="preserve">пi </w:t>
      </w:r>
      <w:r>
        <w:rPr>
          <w:rFonts w:ascii="PT Astra Serif" w:hAnsi="PT Astra Serif" w:cs="PT Astra Serif"/>
          <w:b/>
          <w:sz w:val="28"/>
          <w:szCs w:val="28"/>
        </w:rPr>
        <w:t>= К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н</w:t>
      </w:r>
      <w:r>
        <w:rPr>
          <w:rFonts w:ascii="PT Astra Serif" w:hAnsi="PT Astra Serif" w:cs="PT Astra Serif"/>
          <w:b/>
          <w:sz w:val="28"/>
          <w:szCs w:val="28"/>
        </w:rPr>
        <w:t>*(1+Х*(</w:t>
      </w:r>
      <w:r>
        <w:rPr>
          <w:rFonts w:ascii="PT Astra Serif" w:hAnsi="PT Astra Serif" w:cs="PT Astra Serif"/>
          <w:b/>
          <w:sz w:val="28"/>
          <w:szCs w:val="28"/>
          <w:u w:color="auto" w:val="single"/>
        </w:rPr>
        <w:t>П</w:t>
      </w:r>
      <w:r>
        <w:rPr>
          <w:rFonts w:ascii="PT Astra Serif" w:hAnsi="PT Astra Serif" w:cs="PT Astra Serif"/>
          <w:b/>
          <w:sz w:val="28"/>
          <w:szCs w:val="28"/>
          <w:u w:color="auto" w:val="single"/>
          <w:vertAlign w:val="subscript"/>
        </w:rPr>
        <w:t>ф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 xml:space="preserve"> </w:t>
      </w:r>
      <w:r>
        <w:rPr>
          <w:rFonts w:ascii="PT Astra Serif" w:hAnsi="PT Astra Serif" w:cs="PT Astra Serif"/>
          <w:b/>
          <w:sz w:val="28"/>
          <w:szCs w:val="28"/>
        </w:rPr>
        <w:t>/П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п</w:t>
      </w:r>
      <w:r>
        <w:rPr>
          <w:rFonts w:ascii="PT Astra Serif" w:hAnsi="PT Astra Serif" w:cs="PT Astra Serif"/>
          <w:b/>
          <w:sz w:val="28"/>
          <w:szCs w:val="28"/>
        </w:rPr>
        <w:t xml:space="preserve"> - 1))*100% ,</w:t>
      </w:r>
    </w:p>
    <w:p>
      <w:pPr>
        <w:spacing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  <w:vertAlign w:val="subscript"/>
        </w:rPr>
        <w:t>п</w:t>
      </w:r>
      <w:r>
        <w:rPr>
          <w:rFonts w:ascii="PT Astra Serif" w:hAnsi="PT Astra Serif" w:cs="PT Astra Serif"/>
          <w:sz w:val="28"/>
          <w:szCs w:val="28"/>
        </w:rPr>
        <w:t xml:space="preserve"> - плановое значение показателя;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  <w:vertAlign w:val="subscript"/>
        </w:rPr>
        <w:t>ф</w:t>
      </w:r>
      <w:r>
        <w:rPr>
          <w:rFonts w:ascii="PT Astra Serif" w:hAnsi="PT Astra Serif" w:cs="PT Astra Serif"/>
          <w:sz w:val="28"/>
          <w:szCs w:val="28"/>
        </w:rPr>
        <w:t xml:space="preserve"> - фактическое значение показателя;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</w:t>
      </w:r>
      <w:r>
        <w:rPr>
          <w:rFonts w:ascii="PT Astra Serif" w:hAnsi="PT Astra Serif" w:cs="PT Astra Serif"/>
          <w:sz w:val="28"/>
          <w:szCs w:val="28"/>
          <w:vertAlign w:val="subscript"/>
        </w:rPr>
        <w:t>н</w:t>
      </w:r>
      <w:r>
        <w:rPr>
          <w:rFonts w:ascii="PT Astra Serif" w:hAnsi="PT Astra Serif" w:cs="PT Astra Serif"/>
          <w:sz w:val="28"/>
          <w:szCs w:val="28"/>
        </w:rPr>
        <w:t xml:space="preserve"> - понижающий коэффициент показателя;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X - индикатор возрастания (убывания).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ab/>
        <w:t>Индикатор возрастания (убывания) для показателей определяется на основании информации, содержащейся в паспорте. Для убывающих показателей X считается равным -1 (минус единица), для возрастающих показателей считается равным 1. В случае отсутствия указанной информации в паспорте программы индикатор возрастания (убывания) для показателей рассчитывается по формуле: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Х=(П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ц</w:t>
      </w:r>
      <w:r>
        <w:rPr>
          <w:rFonts w:ascii="PT Astra Serif" w:hAnsi="PT Astra Serif" w:cs="PT Astra Serif"/>
          <w:b/>
          <w:sz w:val="28"/>
          <w:szCs w:val="28"/>
        </w:rPr>
        <w:t>-П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б</w:t>
      </w:r>
      <w:r>
        <w:rPr>
          <w:rFonts w:ascii="PT Astra Serif" w:hAnsi="PT Astra Serif" w:cs="PT Astra Serif"/>
          <w:b/>
          <w:sz w:val="28"/>
          <w:szCs w:val="28"/>
        </w:rPr>
        <w:t>) / (П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ц</w:t>
      </w:r>
      <w:r>
        <w:rPr>
          <w:rFonts w:ascii="PT Astra Serif" w:hAnsi="PT Astra Serif" w:cs="PT Astra Serif"/>
          <w:b/>
          <w:sz w:val="28"/>
          <w:szCs w:val="28"/>
        </w:rPr>
        <w:t>-П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б</w:t>
      </w:r>
      <w:r>
        <w:rPr>
          <w:rFonts w:ascii="PT Astra Serif" w:hAnsi="PT Astra Serif" w:cs="PT Astra Serif"/>
          <w:b/>
          <w:sz w:val="28"/>
          <w:szCs w:val="28"/>
        </w:rPr>
        <w:t>) ,</w:t>
      </w:r>
    </w:p>
    <w:p>
      <w:pPr>
        <w:ind w:firstLine="851"/>
        <w:spacing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  <w:vertAlign w:val="subscript"/>
        </w:rPr>
        <w:t>б</w:t>
      </w:r>
      <w:r>
        <w:rPr>
          <w:rFonts w:ascii="PT Astra Serif" w:hAnsi="PT Astra Serif" w:cs="PT Astra Serif"/>
          <w:sz w:val="28"/>
          <w:szCs w:val="28"/>
        </w:rPr>
        <w:t xml:space="preserve"> - базовое значение показателя;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  <w:vertAlign w:val="subscript"/>
        </w:rPr>
        <w:t>ц</w:t>
      </w:r>
      <w:r>
        <w:rPr>
          <w:rFonts w:ascii="PT Astra Serif" w:hAnsi="PT Astra Serif" w:cs="PT Astra Serif"/>
          <w:sz w:val="28"/>
          <w:szCs w:val="28"/>
        </w:rPr>
        <w:t xml:space="preserve"> - плановое значение показателя на последнюю плановую дату его реализации.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ab/>
        <w:t>В случае расчета уровня достижения показателя, у которого плановое значение отсутствует или равно 0, при этом имеется информация о фактическом досрочном достижении, плановым значением такого показателя считается его первое последующее плановое значение, отличное от 0.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Если на плановую дату достижения показателя или позднее отсутствует информация о его фактически достигнутом значении, при расчете уровня достижения показателя:</w:t>
      </w:r>
    </w:p>
    <w:p>
      <w:pPr>
        <w:ind w:firstLine="56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для показателей, спланированных нарастающим итогом, учитывается их последнее фактическое значение на дату расчета;</w:t>
      </w:r>
    </w:p>
    <w:p>
      <w:pPr>
        <w:ind w:firstLine="56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для показателей, спланированных ненарастающим итогом, применяется понижающий коэффициент (К</w:t>
      </w:r>
      <w:r>
        <w:rPr>
          <w:rFonts w:ascii="PT Astra Serif" w:hAnsi="PT Astra Serif" w:cs="PT Astra Serif"/>
          <w:sz w:val="28"/>
          <w:szCs w:val="28"/>
          <w:vertAlign w:val="subscript"/>
        </w:rPr>
        <w:t>н</w:t>
      </w:r>
      <w:r>
        <w:rPr>
          <w:rFonts w:ascii="PT Astra Serif" w:hAnsi="PT Astra Serif" w:cs="PT Astra Serif"/>
          <w:sz w:val="28"/>
          <w:szCs w:val="28"/>
        </w:rPr>
        <w:t>), равный 0.</w:t>
      </w:r>
    </w:p>
    <w:p>
      <w:pPr>
        <w:ind w:firstLine="56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наличия информации о фактически достигнутом значении показателя и ее подтверждения понижающий коэффициент показателя (К</w:t>
      </w:r>
      <w:r>
        <w:rPr>
          <w:rFonts w:ascii="PT Astra Serif" w:hAnsi="PT Astra Serif" w:cs="PT Astra Serif"/>
          <w:sz w:val="28"/>
          <w:szCs w:val="28"/>
          <w:vertAlign w:val="subscript"/>
        </w:rPr>
        <w:t>н</w:t>
      </w:r>
      <w:r>
        <w:rPr>
          <w:rFonts w:ascii="PT Astra Serif" w:hAnsi="PT Astra Serif" w:cs="PT Astra Serif"/>
          <w:sz w:val="28"/>
          <w:szCs w:val="28"/>
        </w:rPr>
        <w:t>) равен 1.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если уровень достижения показателя превышает 100 процентов, уровень достижения такого показателя в расчете приравнивается к 100 процентам.</w:t>
      </w:r>
    </w:p>
    <w:p>
      <w:pPr>
        <w:ind w:firstLine="56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если уровень достижения показателя принимает отрицательное значение, уровень достижения такого показателя в расчете приравнивается к 0.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Уровень достижения структурных элементов программы (УД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стр.эл.</w:t>
      </w:r>
      <w:r>
        <w:rPr>
          <w:rFonts w:ascii="PT Astra Serif" w:hAnsi="PT Astra Serif" w:cs="PT Astra Serif"/>
          <w:sz w:val="28"/>
          <w:szCs w:val="28"/>
        </w:rPr>
        <w:t>) рассчитывается исходя из средневзвешенного значения уровней достижения всех структурных элементов по формуле: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567"/>
        <w:spacing/>
        <w:jc w:val="center"/>
        <w:rPr>
          <w:rFonts w:ascii="PT Astra Serif" w:hAnsi="PT Astra Serif" w:cs="PT Astra Serif"/>
          <w:b/>
          <w:sz w:val="28"/>
          <w:szCs w:val="28"/>
          <w:lang w:eastAsia="zh-cn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стр.эл.</w:t>
      </w:r>
      <w:r>
        <w:rPr>
          <w:rFonts w:ascii="PT Astra Serif" w:hAnsi="PT Astra Serif" w:cs="PT Astra Serif"/>
          <w:b/>
          <w:sz w:val="28"/>
          <w:szCs w:val="28"/>
        </w:rPr>
        <w:t xml:space="preserve"> = </w:t>
      </w:r>
      <w:r>
        <w:rPr>
          <w:rFonts w:ascii="PT Astra Serif" w:hAnsi="PT Astra Serif" w:cs="PT Astra Serif"/>
          <w:b/>
          <w:sz w:val="30"/>
          <w:szCs w:val="30"/>
          <w:lang w:eastAsia="zh-cn"/>
        </w:rPr>
        <w:t>(Ʃ</w:t>
      </w:r>
      <w:r>
        <w:rPr>
          <w:rFonts w:ascii="PT Astra Serif" w:hAnsi="PT Astra Serif" w:cs="PT Astra Serif"/>
          <w:b/>
          <w:vertAlign w:val="superscript"/>
          <w:lang w:eastAsia="zh-cn"/>
        </w:rPr>
        <w:t>L</w:t>
      </w:r>
      <w:r>
        <w:rPr>
          <w:rFonts w:ascii="PT Astra Serif" w:hAnsi="PT Astra Serif" w:cs="PT Astra Serif"/>
          <w:b/>
          <w:sz w:val="30"/>
          <w:szCs w:val="30"/>
          <w:vertAlign w:val="superscript"/>
          <w:lang w:eastAsia="zh-cn"/>
        </w:rPr>
        <w:t xml:space="preserve"> </w:t>
      </w:r>
      <w:r>
        <w:rPr>
          <w:rFonts w:ascii="PT Astra Serif" w:hAnsi="PT Astra Serif" w:cs="PT Astra Serif"/>
          <w:b/>
          <w:sz w:val="30"/>
          <w:szCs w:val="30"/>
          <w:vertAlign w:val="subscript"/>
          <w:lang w:eastAsia="zh-cn"/>
        </w:rPr>
        <w:t>i=1</w:t>
      </w:r>
      <w:r>
        <w:rPr>
          <w:rFonts w:ascii="PT Astra Serif" w:hAnsi="PT Astra Serif" w:cs="PT Astra Serif"/>
          <w:b/>
          <w:sz w:val="30"/>
          <w:szCs w:val="30"/>
          <w:lang w:eastAsia="zh-cn"/>
        </w:rPr>
        <w:t>К</w:t>
      </w:r>
      <w:r>
        <w:rPr>
          <w:rFonts w:ascii="PT Astra Serif" w:hAnsi="PT Astra Serif" w:cs="PT Astra Serif"/>
          <w:b/>
          <w:sz w:val="30"/>
          <w:szCs w:val="30"/>
          <w:vertAlign w:val="subscript"/>
          <w:lang w:eastAsia="zh-cn"/>
        </w:rPr>
        <w:t>в</w:t>
      </w:r>
      <w:r>
        <w:rPr>
          <w:rFonts w:ascii="PT Astra Serif" w:hAnsi="PT Astra Serif" w:cs="PT Astra Serif"/>
          <w:b/>
          <w:sz w:val="30"/>
          <w:szCs w:val="30"/>
          <w:lang w:eastAsia="zh-cn"/>
        </w:rPr>
        <w:t>*</w:t>
      </w: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стр.эл.i</w:t>
      </w:r>
      <w:r>
        <w:rPr>
          <w:rFonts w:ascii="PT Astra Serif" w:hAnsi="PT Astra Serif" w:cs="PT Astra Serif"/>
          <w:b/>
          <w:sz w:val="28"/>
          <w:szCs w:val="28"/>
        </w:rPr>
        <w:t xml:space="preserve">) / </w:t>
      </w:r>
      <w:r>
        <w:rPr>
          <w:rFonts w:ascii="PT Astra Serif" w:hAnsi="PT Astra Serif" w:cs="PT Astra Serif"/>
          <w:b/>
          <w:sz w:val="30"/>
          <w:szCs w:val="30"/>
          <w:lang w:eastAsia="zh-cn"/>
        </w:rPr>
        <w:t>Ʃ</w:t>
      </w:r>
      <w:r>
        <w:rPr>
          <w:rFonts w:ascii="PT Astra Serif" w:hAnsi="PT Astra Serif" w:cs="PT Astra Serif"/>
          <w:b/>
          <w:vertAlign w:val="superscript"/>
          <w:lang w:eastAsia="zh-cn"/>
        </w:rPr>
        <w:t>L</w:t>
      </w:r>
      <w:r>
        <w:rPr>
          <w:rFonts w:ascii="PT Astra Serif" w:hAnsi="PT Astra Serif" w:cs="PT Astra Serif"/>
          <w:b/>
          <w:sz w:val="30"/>
          <w:szCs w:val="30"/>
          <w:vertAlign w:val="superscript"/>
          <w:lang w:eastAsia="zh-cn"/>
        </w:rPr>
        <w:t xml:space="preserve"> </w:t>
      </w:r>
      <w:r>
        <w:rPr>
          <w:rFonts w:ascii="PT Astra Serif" w:hAnsi="PT Astra Serif" w:cs="PT Astra Serif"/>
          <w:b/>
          <w:sz w:val="30"/>
          <w:szCs w:val="30"/>
          <w:vertAlign w:val="subscript"/>
          <w:lang w:eastAsia="zh-cn"/>
        </w:rPr>
        <w:t>i=1</w:t>
      </w:r>
      <w:r>
        <w:rPr>
          <w:rFonts w:ascii="PT Astra Serif" w:hAnsi="PT Astra Serif" w:cs="PT Astra Serif"/>
          <w:b/>
          <w:sz w:val="30"/>
          <w:szCs w:val="30"/>
          <w:lang w:eastAsia="zh-cn"/>
        </w:rPr>
        <w:t>К</w:t>
      </w:r>
      <w:r>
        <w:rPr>
          <w:rFonts w:ascii="PT Astra Serif" w:hAnsi="PT Astra Serif" w:cs="PT Astra Serif"/>
          <w:b/>
          <w:sz w:val="30"/>
          <w:szCs w:val="30"/>
          <w:vertAlign w:val="subscript"/>
          <w:lang w:eastAsia="zh-cn"/>
        </w:rPr>
        <w:t>в</w:t>
      </w:r>
      <w:r>
        <w:rPr>
          <w:rFonts w:ascii="PT Astra Serif" w:hAnsi="PT Astra Serif" w:cs="PT Astra Serif"/>
          <w:b/>
          <w:sz w:val="30"/>
          <w:szCs w:val="30"/>
          <w:lang w:eastAsia="zh-cn"/>
        </w:rPr>
        <w:t xml:space="preserve"> ,</w:t>
      </w:r>
      <w:r>
        <w:rPr>
          <w:rFonts w:ascii="PT Astra Serif" w:hAnsi="PT Astra Serif" w:cs="PT Astra Serif"/>
          <w:b/>
          <w:sz w:val="28"/>
          <w:szCs w:val="28"/>
          <w:lang w:eastAsia="zh-cn"/>
        </w:rPr>
      </w:r>
    </w:p>
    <w:p>
      <w:pPr>
        <w:spacing/>
        <w:jc w:val="both"/>
        <w:rPr>
          <w:rFonts w:ascii="PT Astra Serif" w:hAnsi="PT Astra Serif" w:cs="PT Astra Serif"/>
          <w:b/>
          <w:sz w:val="28"/>
          <w:szCs w:val="28"/>
          <w:lang w:eastAsia="zh-cn"/>
        </w:rPr>
      </w:pPr>
      <w:r>
        <w:rPr>
          <w:rFonts w:ascii="PT Astra Serif" w:hAnsi="PT Astra Serif" w:cs="PT Astra Serif"/>
          <w:b/>
          <w:sz w:val="28"/>
          <w:szCs w:val="28"/>
          <w:lang w:eastAsia="zh-cn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стр.эл.i</w:t>
      </w:r>
      <w:r>
        <w:rPr>
          <w:rFonts w:ascii="PT Astra Serif" w:hAnsi="PT Astra Serif" w:cs="PT Astra Serif"/>
          <w:sz w:val="28"/>
          <w:szCs w:val="28"/>
        </w:rPr>
        <w:t xml:space="preserve"> - уровень достижения i-го структурного элемента программы (комплексной программы);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</w:t>
      </w:r>
      <w:r>
        <w:rPr>
          <w:rFonts w:ascii="PT Astra Serif" w:hAnsi="PT Astra Serif" w:cs="PT Astra Serif"/>
          <w:sz w:val="28"/>
          <w:szCs w:val="28"/>
          <w:vertAlign w:val="subscript"/>
        </w:rPr>
        <w:t>в</w:t>
      </w:r>
      <w:r>
        <w:rPr>
          <w:rFonts w:ascii="PT Astra Serif" w:hAnsi="PT Astra Serif" w:cs="PT Astra Serif"/>
          <w:sz w:val="28"/>
          <w:szCs w:val="28"/>
        </w:rPr>
        <w:t xml:space="preserve"> - повышающий коэффициент;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L - количество структурных элементов программы (комплексной программы).</w:t>
      </w:r>
    </w:p>
    <w:p>
      <w:pPr>
        <w:ind w:firstLine="56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Определение значения повышающего коэффициента (Кв) осуществляется с учетом типа структурного элемента программы (комплексной программы):</w:t>
      </w:r>
    </w:p>
    <w:p>
      <w:pPr>
        <w:ind w:firstLine="56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для структурного элемента, направленного на достижение целей национального проекта, - 2;</w:t>
      </w:r>
    </w:p>
    <w:p>
      <w:pPr>
        <w:ind w:firstLine="56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для иного структурного элемента — 1,5;</w:t>
      </w:r>
    </w:p>
    <w:p>
      <w:pPr>
        <w:ind w:firstLine="56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в) для комплекса процессных мероприятий — 1.</w:t>
      </w:r>
    </w:p>
    <w:p>
      <w:pPr>
        <w:ind w:firstLine="56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75. </w:t>
        <w:tab/>
        <w:t>Уровень достижения структурного элемента, направленного на достижение национального проекта, формируется автоматически в подсистеме анализа реализации национальных проектов государственной автоматизированной информационной системы "Управление".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ab/>
        <w:t>Уровень достижения иных структурных элементов, комплекса процессных мероприятий программы (УД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стр.эл.i</w:t>
      </w:r>
      <w:r>
        <w:rPr>
          <w:rFonts w:ascii="PT Astra Serif" w:hAnsi="PT Astra Serif" w:cs="PT Astra Serif"/>
          <w:sz w:val="28"/>
          <w:szCs w:val="28"/>
        </w:rPr>
        <w:t>) рассчитывается по формуле: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pStyle w:val="para14"/>
        <w:ind w:firstLine="0"/>
        <w:spacing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стр.эл.i</w:t>
      </w:r>
      <w:r>
        <w:rPr>
          <w:rFonts w:ascii="PT Astra Serif" w:hAnsi="PT Astra Serif" w:cs="PT Astra Serif"/>
          <w:b/>
          <w:sz w:val="28"/>
          <w:szCs w:val="28"/>
        </w:rPr>
        <w:t xml:space="preserve"> = 0,5 * 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псэ</w:t>
      </w:r>
      <w:r>
        <w:rPr>
          <w:rFonts w:ascii="PT Astra Serif" w:hAnsi="PT Astra Serif" w:cs="PT Astra Serif"/>
          <w:b/>
          <w:sz w:val="28"/>
          <w:szCs w:val="28"/>
        </w:rPr>
        <w:t xml:space="preserve"> + 0,5 * 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рез</w:t>
      </w:r>
      <w:r>
        <w:rPr>
          <w:rFonts w:ascii="PT Astra Serif" w:hAnsi="PT Astra Serif" w:cs="PT Astra Serif"/>
          <w:b/>
          <w:sz w:val="28"/>
          <w:szCs w:val="28"/>
        </w:rPr>
        <w:t xml:space="preserve"> , 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para14"/>
        <w:ind w:firstLine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</w:t>
      </w:r>
      <w:r>
        <w:rPr>
          <w:rFonts w:ascii="PT Astra Serif" w:hAnsi="PT Astra Serif" w:cs="PT Astra Serif"/>
          <w:sz w:val="28"/>
          <w:szCs w:val="28"/>
          <w:vertAlign w:val="subscript"/>
        </w:rPr>
        <w:t>псэ</w:t>
      </w:r>
      <w:r>
        <w:rPr>
          <w:rFonts w:ascii="PT Astra Serif" w:hAnsi="PT Astra Serif" w:cs="PT Astra Serif"/>
          <w:sz w:val="28"/>
          <w:szCs w:val="28"/>
        </w:rPr>
        <w:t xml:space="preserve"> - уровень достижения показателей структурного элемента программы (комплексной программы);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рез</w:t>
      </w:r>
      <w:r>
        <w:rPr>
          <w:rFonts w:ascii="PT Astra Serif" w:hAnsi="PT Astra Serif" w:cs="PT Astra Serif"/>
          <w:sz w:val="28"/>
          <w:szCs w:val="28"/>
        </w:rPr>
        <w:t xml:space="preserve"> - уровень достижения мероприятий (результатов) структурного элемента программы (комплексной программы) 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отсутствия запланированных или досрочно достигнутых значений показателей на дату расчета уровня достижения или при наличии показателей только с плановым значением, равным 0, расчет уровня достижения структурного элемента программы (комплексной программы) (УД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стр.эл.i</w:t>
      </w:r>
      <w:r>
        <w:rPr>
          <w:rFonts w:ascii="PT Astra Serif" w:hAnsi="PT Astra Serif" w:cs="PT Astra Serif"/>
          <w:sz w:val="28"/>
          <w:szCs w:val="28"/>
        </w:rPr>
        <w:t>) осуществляется по формуле:</w:t>
      </w:r>
    </w:p>
    <w:p>
      <w:pPr>
        <w:ind w:firstLine="851"/>
        <w:spacing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851"/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стр.эл.i</w:t>
      </w:r>
      <w:r>
        <w:rPr>
          <w:rFonts w:ascii="PT Astra Serif" w:hAnsi="PT Astra Serif" w:cs="PT Astra Serif"/>
          <w:b/>
          <w:sz w:val="28"/>
          <w:szCs w:val="28"/>
        </w:rPr>
        <w:t xml:space="preserve"> = 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рез</w:t>
      </w:r>
      <w:r>
        <w:rPr>
          <w:rFonts w:ascii="PT Astra Serif" w:hAnsi="PT Astra Serif" w:cs="PT Astra Serif"/>
          <w:b/>
          <w:sz w:val="28"/>
          <w:szCs w:val="28"/>
        </w:rPr>
        <w:t xml:space="preserve"> ,</w:t>
      </w:r>
    </w:p>
    <w:p>
      <w:pPr>
        <w:ind w:firstLine="851"/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Уровень достижения показателей структурного элемента программы (комплексной программы) рассчитывается по формуле: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851"/>
        <w:spacing/>
        <w:jc w:val="center"/>
        <w:rPr>
          <w:rFonts w:ascii="PT Astra Serif" w:hAnsi="PT Astra Serif" w:cs="PT Astra Serif"/>
          <w:b/>
          <w:sz w:val="28"/>
          <w:szCs w:val="28"/>
          <w:vertAlign w:val="subscript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 xml:space="preserve">псэ </w:t>
      </w:r>
      <w:r>
        <w:rPr>
          <w:rFonts w:ascii="PT Astra Serif" w:hAnsi="PT Astra Serif" w:cs="PT Astra Serif"/>
          <w:b/>
          <w:sz w:val="28"/>
          <w:szCs w:val="28"/>
        </w:rPr>
        <w:t xml:space="preserve">= </w:t>
      </w:r>
      <w:r>
        <w:rPr>
          <w:rFonts w:ascii="PT Astra Serif" w:hAnsi="PT Astra Serif" w:cs="PT Astra Serif"/>
          <w:b/>
          <w:sz w:val="30"/>
          <w:szCs w:val="30"/>
          <w:lang w:eastAsia="zh-cn"/>
        </w:rPr>
        <w:t>(Ʃ</w:t>
      </w:r>
      <w:r>
        <w:rPr>
          <w:rFonts w:ascii="PT Astra Serif" w:hAnsi="PT Astra Serif" w:cs="PT Astra Serif"/>
          <w:b/>
          <w:vertAlign w:val="superscript"/>
          <w:lang w:eastAsia="zh-cn"/>
        </w:rPr>
        <w:t>N</w:t>
      </w:r>
      <w:r>
        <w:rPr>
          <w:rFonts w:ascii="PT Astra Serif" w:hAnsi="PT Astra Serif" w:cs="PT Astra Serif"/>
          <w:b/>
          <w:sz w:val="30"/>
          <w:szCs w:val="30"/>
          <w:vertAlign w:val="superscript"/>
          <w:lang w:eastAsia="zh-cn"/>
        </w:rPr>
        <w:t xml:space="preserve"> </w:t>
      </w:r>
      <w:r>
        <w:rPr>
          <w:rFonts w:ascii="PT Astra Serif" w:hAnsi="PT Astra Serif" w:cs="PT Astra Serif"/>
          <w:b/>
          <w:sz w:val="30"/>
          <w:szCs w:val="30"/>
          <w:vertAlign w:val="subscript"/>
          <w:lang w:eastAsia="zh-cn"/>
        </w:rPr>
        <w:t>i=1</w:t>
      </w: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псэi</w:t>
      </w:r>
      <w:r>
        <w:rPr>
          <w:rFonts w:ascii="PT Astra Serif" w:hAnsi="PT Astra Serif" w:cs="PT Astra Serif"/>
          <w:b/>
          <w:sz w:val="28"/>
          <w:szCs w:val="28"/>
        </w:rPr>
        <w:t>) / N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псэ ,</w:t>
      </w:r>
    </w:p>
    <w:p>
      <w:pPr>
        <w:ind w:firstLine="851"/>
        <w:spacing/>
        <w:jc w:val="both"/>
        <w:rPr>
          <w:rFonts w:ascii="PT Astra Serif" w:hAnsi="PT Astra Serif" w:cs="PT Astra Serif"/>
          <w:b/>
          <w:sz w:val="28"/>
          <w:szCs w:val="28"/>
          <w:vertAlign w:val="subscript"/>
        </w:rPr>
      </w:pPr>
      <w:r>
        <w:rPr>
          <w:rFonts w:ascii="PT Astra Serif" w:hAnsi="PT Astra Serif" w:cs="PT Astra Serif"/>
          <w:b/>
          <w:sz w:val="28"/>
          <w:szCs w:val="28"/>
          <w:vertAlign w:val="subscript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</w:t>
      </w:r>
      <w:r>
        <w:rPr>
          <w:rFonts w:ascii="PT Astra Serif" w:hAnsi="PT Astra Serif" w:cs="PT Astra Serif"/>
          <w:sz w:val="28"/>
          <w:szCs w:val="28"/>
          <w:vertAlign w:val="subscript"/>
        </w:rPr>
        <w:t>псэi</w:t>
      </w:r>
      <w:r>
        <w:rPr>
          <w:rFonts w:ascii="PT Astra Serif" w:hAnsi="PT Astra Serif" w:cs="PT Astra Serif"/>
          <w:sz w:val="28"/>
          <w:szCs w:val="28"/>
        </w:rPr>
        <w:t xml:space="preserve"> - уровень достижения i-го показателя структурного элемента программы (комплексной программы) 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N</w:t>
      </w:r>
      <w:r>
        <w:rPr>
          <w:rFonts w:ascii="PT Astra Serif" w:hAnsi="PT Astra Serif" w:cs="PT Astra Serif"/>
          <w:sz w:val="28"/>
          <w:szCs w:val="28"/>
          <w:vertAlign w:val="subscript"/>
        </w:rPr>
        <w:t>псэ</w:t>
      </w:r>
      <w:r>
        <w:rPr>
          <w:rFonts w:ascii="PT Astra Serif" w:hAnsi="PT Astra Serif" w:cs="PT Astra Serif"/>
          <w:sz w:val="28"/>
          <w:szCs w:val="28"/>
        </w:rPr>
        <w:t xml:space="preserve"> - количество запланированных и (или) досрочно достигнутых показателей структурного элемента программы без учета прокси-показателей. </w:t>
      </w:r>
    </w:p>
    <w:p>
      <w:pPr>
        <w:ind w:firstLine="85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расчете указанного уровня достижения учитываются показатели:</w:t>
      </w:r>
    </w:p>
    <w:p>
      <w:pPr>
        <w:ind w:firstLine="85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-по которым на дату расчета установлено плановое значение;</w:t>
      </w:r>
    </w:p>
    <w:p>
      <w:pPr>
        <w:ind w:firstLine="85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-по которым на дату расчета есть информация о фактическом досрочном достижении;</w:t>
      </w:r>
    </w:p>
    <w:p>
      <w:pPr>
        <w:ind w:firstLine="85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-завершенные показатели в случае, если на дату завершения наступила плановая дата их достижения.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Базовой формулой для расчета уровня достижения показателя структурного элемента программы (УД</w:t>
      </w:r>
      <w:r>
        <w:rPr>
          <w:rFonts w:ascii="PT Astra Serif" w:hAnsi="PT Astra Serif" w:cs="PT Astra Serif"/>
          <w:sz w:val="28"/>
          <w:szCs w:val="28"/>
          <w:vertAlign w:val="subscript"/>
        </w:rPr>
        <w:t>псэi</w:t>
      </w:r>
      <w:r>
        <w:rPr>
          <w:rFonts w:ascii="PT Astra Serif" w:hAnsi="PT Astra Serif" w:cs="PT Astra Serif"/>
          <w:sz w:val="28"/>
          <w:szCs w:val="28"/>
        </w:rPr>
        <w:t>), для которого возможно осуществление расчета, при достижении его не в полном объеме и на дату расчета уровня достижения которого наступила плановая дата его достижения или имеется информация о фактическом досрочном достижении, является: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851"/>
        <w:spacing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 xml:space="preserve">псэi </w:t>
      </w:r>
      <w:r>
        <w:rPr>
          <w:rFonts w:ascii="PT Astra Serif" w:hAnsi="PT Astra Serif" w:cs="PT Astra Serif"/>
          <w:b/>
          <w:sz w:val="28"/>
          <w:szCs w:val="28"/>
        </w:rPr>
        <w:t>= К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н</w:t>
      </w:r>
      <w:r>
        <w:rPr>
          <w:rFonts w:ascii="PT Astra Serif" w:hAnsi="PT Astra Serif" w:cs="PT Astra Serif"/>
          <w:b/>
          <w:sz w:val="28"/>
          <w:szCs w:val="28"/>
        </w:rPr>
        <w:t>*(1+Х*(</w:t>
      </w:r>
      <w:r>
        <w:rPr>
          <w:rFonts w:ascii="PT Astra Serif" w:hAnsi="PT Astra Serif" w:cs="PT Astra Serif"/>
          <w:b/>
          <w:sz w:val="28"/>
          <w:szCs w:val="28"/>
          <w:u w:color="auto" w:val="single"/>
        </w:rPr>
        <w:t>П</w:t>
      </w:r>
      <w:r>
        <w:rPr>
          <w:rFonts w:ascii="PT Astra Serif" w:hAnsi="PT Astra Serif" w:cs="PT Astra Serif"/>
          <w:b/>
          <w:sz w:val="28"/>
          <w:szCs w:val="28"/>
          <w:u w:color="auto" w:val="single"/>
          <w:vertAlign w:val="subscript"/>
        </w:rPr>
        <w:t>сэф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 xml:space="preserve"> </w:t>
      </w:r>
      <w:r>
        <w:rPr>
          <w:rFonts w:ascii="PT Astra Serif" w:hAnsi="PT Astra Serif" w:cs="PT Astra Serif"/>
          <w:b/>
          <w:sz w:val="28"/>
          <w:szCs w:val="28"/>
        </w:rPr>
        <w:t>/П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сэп</w:t>
      </w:r>
      <w:r>
        <w:rPr>
          <w:rFonts w:ascii="PT Astra Serif" w:hAnsi="PT Astra Serif" w:cs="PT Astra Serif"/>
          <w:b/>
          <w:sz w:val="28"/>
          <w:szCs w:val="28"/>
        </w:rPr>
        <w:t xml:space="preserve"> - 1))*100% ,</w:t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  <w:vertAlign w:val="subscript"/>
        </w:rPr>
        <w:t>сэп</w:t>
      </w:r>
      <w:r>
        <w:rPr>
          <w:rFonts w:ascii="PT Astra Serif" w:hAnsi="PT Astra Serif" w:cs="PT Astra Serif"/>
          <w:sz w:val="28"/>
          <w:szCs w:val="28"/>
        </w:rPr>
        <w:t xml:space="preserve"> - плановое значение показателя структурного элемента программы (комплексной программы);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  <w:vertAlign w:val="subscript"/>
        </w:rPr>
        <w:t>сэф</w:t>
      </w:r>
      <w:r>
        <w:rPr>
          <w:rFonts w:ascii="PT Astra Serif" w:hAnsi="PT Astra Serif" w:cs="PT Astra Serif"/>
          <w:sz w:val="28"/>
          <w:szCs w:val="28"/>
        </w:rPr>
        <w:t xml:space="preserve"> - фактическое значение показателя структурного элемента программы (комплексной программы);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</w:t>
      </w:r>
      <w:r>
        <w:rPr>
          <w:rFonts w:ascii="PT Astra Serif" w:hAnsi="PT Astra Serif" w:cs="PT Astra Serif"/>
          <w:sz w:val="28"/>
          <w:szCs w:val="28"/>
          <w:vertAlign w:val="subscript"/>
        </w:rPr>
        <w:t xml:space="preserve">н </w:t>
      </w:r>
      <w:r>
        <w:rPr>
          <w:rFonts w:ascii="PT Astra Serif" w:hAnsi="PT Astra Serif" w:cs="PT Astra Serif"/>
          <w:sz w:val="28"/>
          <w:szCs w:val="28"/>
        </w:rPr>
        <w:t>- понижающий коэффициент показателя;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X - индикатор возрастания (убывания).</w:t>
      </w:r>
    </w:p>
    <w:p>
      <w:pPr>
        <w:ind w:firstLine="85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Индикатор возрастания (убывания) для показателей структурного элемента программы (комплексной программы) определяется на основании информации, содержащейся в паспорте. Для убывающих показателей X считается равным -1 (минус единица), для возрастающих показателей считается равным 1. В случае отсутствия указанной информации в паспорте программы (комплексной программы) индикатор возрастания (убывания) для показателей рассчитывается по формуле: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Х=(П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сэц</w:t>
      </w:r>
      <w:r>
        <w:rPr>
          <w:rFonts w:ascii="PT Astra Serif" w:hAnsi="PT Astra Serif" w:cs="PT Astra Serif"/>
          <w:b/>
          <w:sz w:val="28"/>
          <w:szCs w:val="28"/>
        </w:rPr>
        <w:t>-П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сэб</w:t>
      </w:r>
      <w:r>
        <w:rPr>
          <w:rFonts w:ascii="PT Astra Serif" w:hAnsi="PT Astra Serif" w:cs="PT Astra Serif"/>
          <w:b/>
          <w:sz w:val="28"/>
          <w:szCs w:val="28"/>
        </w:rPr>
        <w:t>) / ǀ(П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сэц</w:t>
      </w:r>
      <w:r>
        <w:rPr>
          <w:rFonts w:ascii="PT Astra Serif" w:hAnsi="PT Astra Serif" w:cs="PT Astra Serif"/>
          <w:b/>
          <w:sz w:val="28"/>
          <w:szCs w:val="28"/>
        </w:rPr>
        <w:t>-П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сэб</w:t>
      </w:r>
      <w:r>
        <w:rPr>
          <w:rFonts w:ascii="PT Astra Serif" w:hAnsi="PT Astra Serif" w:cs="PT Astra Serif"/>
          <w:b/>
          <w:sz w:val="28"/>
          <w:szCs w:val="28"/>
        </w:rPr>
        <w:t>)ǀ ,</w:t>
      </w:r>
    </w:p>
    <w:p>
      <w:pPr>
        <w:ind w:firstLine="851"/>
        <w:spacing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Псэб - базовое значение показателя структурного элемента программы (комплексной программы);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Псэц - плановое значение показателя структурного элемента программы (комплексной программы) на последнюю плановую дату его реализации. </w:t>
      </w:r>
    </w:p>
    <w:p>
      <w:pPr>
        <w:ind w:firstLine="907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расчета уровня достижения показателя структурного элемента программы (комплексной программы), у которого плановое значение отсутствует или равно 0, при этом имеется информация о фактическом досрочном достижении, плановым значением такого показателя считается его первое последующее плановое значение, отличное от 0.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Если на плановую дату достижения показателя структурного элемента программы (комплексной программы) или позднее отсутствует информация о его фактически достигнутом значении, при расчете уровня достижения показателя: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для показателей структурного элемента программы (комплексной программы), спланированных нарастающим итогом, учитывается их последнее фактическое значение на дату расчета;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для показателей структурного элемента программы (комплексной программы), спланированных ненарастающим итогом, применяется понижающий коэффициент (К</w:t>
      </w:r>
      <w:r>
        <w:rPr>
          <w:rFonts w:ascii="PT Astra Serif" w:hAnsi="PT Astra Serif" w:cs="PT Astra Serif"/>
          <w:sz w:val="28"/>
          <w:szCs w:val="28"/>
          <w:vertAlign w:val="subscript"/>
        </w:rPr>
        <w:t>н</w:t>
      </w:r>
      <w:r>
        <w:rPr>
          <w:rFonts w:ascii="PT Astra Serif" w:hAnsi="PT Astra Serif" w:cs="PT Astra Serif"/>
          <w:sz w:val="28"/>
          <w:szCs w:val="28"/>
        </w:rPr>
        <w:t>), равный 0.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наличия информации о фактически достигнутом значении показателя структурного элемента программы (комплексной программы) и ее подтверждения понижающий коэффициент показателя (К</w:t>
      </w:r>
      <w:r>
        <w:rPr>
          <w:rFonts w:ascii="PT Astra Serif" w:hAnsi="PT Astra Serif" w:cs="PT Astra Serif"/>
          <w:sz w:val="28"/>
          <w:szCs w:val="28"/>
          <w:vertAlign w:val="subscript"/>
        </w:rPr>
        <w:t>н</w:t>
      </w:r>
      <w:r>
        <w:rPr>
          <w:rFonts w:ascii="PT Astra Serif" w:hAnsi="PT Astra Serif" w:cs="PT Astra Serif"/>
          <w:sz w:val="28"/>
          <w:szCs w:val="28"/>
        </w:rPr>
        <w:t>) равен 1.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если уровень достижения показателя структурного элемента программы (комплексной программы)  превышает 100 процентов, уровень достижения такого показателя в расчете приравнивается к 100 процентам.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если уровень достижения показателя структурного элемента программы (комплексной программы) принимает отрицательное значение, уровень достижения такого показателя в расчете приравнивается к 0.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Уровень достижения мероприятий (результатов) структурного элемента программы (комплексной программы) (УД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рез</w:t>
      </w:r>
      <w:r>
        <w:rPr>
          <w:rFonts w:ascii="PT Astra Serif" w:hAnsi="PT Astra Serif" w:cs="PT Astra Serif"/>
          <w:sz w:val="28"/>
          <w:szCs w:val="28"/>
        </w:rPr>
        <w:t>) рассчитывается по формуле: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851"/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рез</w:t>
      </w:r>
      <w:r>
        <w:rPr>
          <w:rFonts w:ascii="PT Astra Serif" w:hAnsi="PT Astra Serif" w:cs="PT Astra Serif"/>
          <w:b/>
          <w:sz w:val="28"/>
          <w:szCs w:val="28"/>
        </w:rPr>
        <w:t xml:space="preserve">= </w:t>
      </w:r>
      <w:r>
        <w:rPr>
          <w:rFonts w:ascii="PT Astra Serif" w:hAnsi="PT Astra Serif" w:cs="PT Astra Serif"/>
          <w:b/>
          <w:sz w:val="30"/>
          <w:szCs w:val="30"/>
          <w:lang w:eastAsia="zh-cn"/>
        </w:rPr>
        <w:t>(Ʃ</w:t>
      </w:r>
      <w:r>
        <w:rPr>
          <w:rFonts w:ascii="PT Astra Serif" w:hAnsi="PT Astra Serif" w:cs="PT Astra Serif"/>
          <w:b/>
          <w:vertAlign w:val="superscript"/>
          <w:lang w:eastAsia="zh-cn"/>
        </w:rPr>
        <w:t>M</w:t>
      </w:r>
      <w:r>
        <w:rPr>
          <w:rFonts w:ascii="PT Astra Serif" w:hAnsi="PT Astra Serif" w:cs="PT Astra Serif"/>
          <w:b/>
          <w:sz w:val="30"/>
          <w:szCs w:val="30"/>
          <w:vertAlign w:val="superscript"/>
          <w:lang w:eastAsia="zh-cn"/>
        </w:rPr>
        <w:t xml:space="preserve"> </w:t>
      </w:r>
      <w:r>
        <w:rPr>
          <w:rFonts w:ascii="PT Astra Serif" w:hAnsi="PT Astra Serif" w:cs="PT Astra Serif"/>
          <w:b/>
          <w:sz w:val="30"/>
          <w:szCs w:val="30"/>
          <w:vertAlign w:val="subscript"/>
          <w:lang w:eastAsia="zh-cn"/>
        </w:rPr>
        <w:t>i=1</w:t>
      </w: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резi</w:t>
      </w:r>
      <w:r>
        <w:rPr>
          <w:rFonts w:ascii="PT Astra Serif" w:hAnsi="PT Astra Serif" w:cs="PT Astra Serif"/>
          <w:b/>
          <w:sz w:val="28"/>
          <w:szCs w:val="28"/>
        </w:rPr>
        <w:t>) / M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 xml:space="preserve">рез.сэ </w:t>
      </w:r>
      <w:r>
        <w:rPr>
          <w:rFonts w:ascii="PT Astra Serif" w:hAnsi="PT Astra Serif" w:cs="PT Astra Serif"/>
          <w:b/>
          <w:sz w:val="28"/>
          <w:szCs w:val="28"/>
        </w:rPr>
        <w:t>,</w:t>
      </w:r>
    </w:p>
    <w:p>
      <w:pPr>
        <w:ind w:firstLine="851"/>
        <w:spacing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резi</w:t>
      </w:r>
      <w:r>
        <w:rPr>
          <w:rFonts w:ascii="PT Astra Serif" w:hAnsi="PT Astra Serif" w:cs="PT Astra Serif"/>
          <w:sz w:val="28"/>
          <w:szCs w:val="28"/>
        </w:rPr>
        <w:t xml:space="preserve"> - уровень достижения i-го мероприятия (результата) структурного элемента программы  (комплексной программы);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М</w:t>
      </w:r>
      <w:r>
        <w:rPr>
          <w:rFonts w:ascii="PT Astra Serif" w:hAnsi="PT Astra Serif" w:cs="PT Astra Serif"/>
          <w:sz w:val="28"/>
          <w:szCs w:val="28"/>
          <w:vertAlign w:val="subscript"/>
        </w:rPr>
        <w:t>рез.сэ</w:t>
      </w:r>
      <w:r>
        <w:rPr>
          <w:rFonts w:ascii="PT Astra Serif" w:hAnsi="PT Astra Serif" w:cs="PT Astra Serif"/>
          <w:sz w:val="28"/>
          <w:szCs w:val="28"/>
        </w:rPr>
        <w:t xml:space="preserve"> - количество запланированных мероприятий (результатов) программы (комплексной программы).</w:t>
      </w:r>
    </w:p>
    <w:p>
      <w:pPr>
        <w:ind w:firstLine="794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расчете указанного уровня достижения учитываются мероприятия (результаты):</w:t>
      </w:r>
    </w:p>
    <w:p>
      <w:pPr>
        <w:ind w:firstLine="794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-по которым на дату расчета установлено плановое значение;</w:t>
      </w:r>
    </w:p>
    <w:p>
      <w:pPr>
        <w:ind w:firstLine="794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-по которым на дату расчета есть информация о фактическом досрочном достижении;</w:t>
      </w:r>
    </w:p>
    <w:p>
      <w:pPr>
        <w:ind w:firstLine="794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-завершенные мероприятия (результаты) в случае, если на дату завершения наступила плановая дата их достижения.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Уровень достижения мероприятия (результата) структурного элемента программы (УД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резi</w:t>
      </w:r>
      <w:r>
        <w:rPr>
          <w:rFonts w:ascii="PT Astra Serif" w:hAnsi="PT Astra Serif" w:cs="PT Astra Serif"/>
          <w:sz w:val="28"/>
          <w:szCs w:val="28"/>
        </w:rPr>
        <w:t>) рассчитывается по формуле: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794"/>
        <w:spacing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 xml:space="preserve">резi </w:t>
      </w:r>
      <w:r>
        <w:rPr>
          <w:rFonts w:ascii="PT Astra Serif" w:hAnsi="PT Astra Serif" w:cs="PT Astra Serif"/>
          <w:b/>
          <w:sz w:val="28"/>
          <w:szCs w:val="28"/>
        </w:rPr>
        <w:t>= (0,7*(П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ф.резi</w:t>
      </w:r>
      <w:r>
        <w:rPr>
          <w:rFonts w:ascii="PT Astra Serif" w:hAnsi="PT Astra Serif" w:cs="PT Astra Serif"/>
          <w:b/>
          <w:sz w:val="28"/>
          <w:szCs w:val="28"/>
        </w:rPr>
        <w:t xml:space="preserve"> / 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пл.резi</w:t>
      </w:r>
      <w:r>
        <w:rPr>
          <w:rFonts w:ascii="PT Astra Serif" w:hAnsi="PT Astra Serif" w:cs="PT Astra Serif"/>
          <w:b/>
          <w:sz w:val="28"/>
          <w:szCs w:val="28"/>
        </w:rPr>
        <w:t>)+0,3*(КТ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ф.резi</w:t>
      </w:r>
      <w:r>
        <w:rPr>
          <w:rFonts w:ascii="PT Astra Serif" w:hAnsi="PT Astra Serif" w:cs="PT Astra Serif"/>
          <w:b/>
          <w:sz w:val="28"/>
          <w:szCs w:val="28"/>
        </w:rPr>
        <w:t xml:space="preserve"> / КТ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пл.резi</w:t>
      </w:r>
      <w:r>
        <w:rPr>
          <w:rFonts w:ascii="PT Astra Serif" w:hAnsi="PT Astra Serif" w:cs="PT Astra Serif"/>
          <w:b/>
          <w:sz w:val="28"/>
          <w:szCs w:val="28"/>
        </w:rPr>
        <w:t>))*100% ,</w:t>
      </w:r>
    </w:p>
    <w:p>
      <w:pPr>
        <w:spacing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  <w:vertAlign w:val="subscript"/>
        </w:rPr>
        <w:t>пл.резi</w:t>
      </w:r>
      <w:r>
        <w:rPr>
          <w:rFonts w:ascii="PT Astra Serif" w:hAnsi="PT Astra Serif" w:cs="PT Astra Serif"/>
          <w:sz w:val="28"/>
          <w:szCs w:val="28"/>
        </w:rPr>
        <w:t xml:space="preserve"> - плановое значение i-го мероприятия (результата) на дату расчета или в случае досрочного достижения;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</w:t>
      </w:r>
      <w:r>
        <w:rPr>
          <w:rFonts w:ascii="PT Astra Serif" w:hAnsi="PT Astra Serif" w:cs="PT Astra Serif"/>
          <w:sz w:val="28"/>
          <w:szCs w:val="28"/>
          <w:vertAlign w:val="subscript"/>
        </w:rPr>
        <w:t>ф.резi</w:t>
      </w:r>
      <w:r>
        <w:rPr>
          <w:rFonts w:ascii="PT Astra Serif" w:hAnsi="PT Astra Serif" w:cs="PT Astra Serif"/>
          <w:sz w:val="28"/>
          <w:szCs w:val="28"/>
        </w:rPr>
        <w:t xml:space="preserve"> - фактическое значение i-го мероприятия (результата), включая досрочно достигнутые значения;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КТ</w:t>
      </w:r>
      <w:r>
        <w:rPr>
          <w:rFonts w:ascii="PT Astra Serif" w:hAnsi="PT Astra Serif" w:cs="PT Astra Serif"/>
          <w:sz w:val="28"/>
          <w:szCs w:val="28"/>
          <w:vertAlign w:val="subscript"/>
        </w:rPr>
        <w:t>пл.резi</w:t>
      </w:r>
      <w:r>
        <w:rPr>
          <w:rFonts w:ascii="PT Astra Serif" w:hAnsi="PT Astra Serif" w:cs="PT Astra Serif"/>
          <w:sz w:val="28"/>
          <w:szCs w:val="28"/>
        </w:rPr>
        <w:t xml:space="preserve"> - количество контрольных точек i-го мероприятия (результата), установленных на год, в котором осуществляется расчет, или на последующие годы, которые досрочно достигнуты;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КТ</w:t>
      </w:r>
      <w:r>
        <w:rPr>
          <w:rFonts w:ascii="PT Astra Serif" w:hAnsi="PT Astra Serif" w:cs="PT Astra Serif"/>
          <w:sz w:val="28"/>
          <w:szCs w:val="28"/>
          <w:vertAlign w:val="subscript"/>
        </w:rPr>
        <w:t xml:space="preserve">ф.резi </w:t>
      </w:r>
      <w:r>
        <w:rPr>
          <w:rFonts w:ascii="PT Astra Serif" w:hAnsi="PT Astra Serif" w:cs="PT Astra Serif"/>
          <w:sz w:val="28"/>
          <w:szCs w:val="28"/>
        </w:rPr>
        <w:t>- количество достигнутых и досрочно достигнутых контрольных точек i-го мероприятия (результата), установленных на год, в котором осуществляется расчет, или на последующие годы.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Если по мероприятию (результату) структурного элемента программы (комплексной программы) отсутствуют контрольные точки, установленные на год, в котором осуществляется расчет, или на последующие годы, у которых на дату расчета наступила плановая дата достижения и (или) которые досрочно достигнуты, уровень достижения мероприятия (результата) рассчитывается по формуле:</w:t>
      </w:r>
    </w:p>
    <w:p>
      <w:pPr>
        <w:ind w:firstLine="850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794"/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 xml:space="preserve">резi </w:t>
      </w:r>
      <w:r>
        <w:rPr>
          <w:rFonts w:ascii="PT Astra Serif" w:hAnsi="PT Astra Serif" w:cs="PT Astra Serif"/>
          <w:b/>
          <w:sz w:val="28"/>
          <w:szCs w:val="28"/>
        </w:rPr>
        <w:t>= (П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ф.резi</w:t>
      </w:r>
      <w:r>
        <w:rPr>
          <w:rFonts w:ascii="PT Astra Serif" w:hAnsi="PT Astra Serif" w:cs="PT Astra Serif"/>
          <w:b/>
          <w:sz w:val="28"/>
          <w:szCs w:val="28"/>
        </w:rPr>
        <w:t xml:space="preserve"> / П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пл.резi</w:t>
      </w:r>
      <w:r>
        <w:rPr>
          <w:rFonts w:ascii="PT Astra Serif" w:hAnsi="PT Astra Serif" w:cs="PT Astra Serif"/>
          <w:b/>
          <w:sz w:val="28"/>
          <w:szCs w:val="28"/>
        </w:rPr>
        <w:t xml:space="preserve">)*100% </w:t>
      </w:r>
    </w:p>
    <w:p>
      <w:pPr>
        <w:ind w:firstLine="794"/>
        <w:spacing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Если на дату расчета по мероприятию (результату) структурного элемента программы (комплексной программы) отсутствует информация о фактическом достижении мероприятия (результата) и не наступила плановая дата достижения или плановое значение равно 0, уровень достижения мероприятия (результата) (УД</w:t>
      </w:r>
      <w:r>
        <w:rPr>
          <w:rFonts w:ascii="PT Astra Serif" w:hAnsi="PT Astra Serif" w:cs="PT Astra Serif"/>
          <w:sz w:val="28"/>
          <w:szCs w:val="28"/>
          <w:vertAlign w:val="subscript"/>
        </w:rPr>
        <w:t>резi</w:t>
      </w:r>
      <w:r>
        <w:rPr>
          <w:rFonts w:ascii="PT Astra Serif" w:hAnsi="PT Astra Serif" w:cs="PT Astra Serif"/>
          <w:sz w:val="28"/>
          <w:szCs w:val="28"/>
        </w:rPr>
        <w:t>) рассчитывается по формуле:</w:t>
      </w:r>
    </w:p>
    <w:p>
      <w:pPr>
        <w:ind w:firstLine="794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794"/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УД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 xml:space="preserve">резi </w:t>
      </w:r>
      <w:r>
        <w:rPr>
          <w:rFonts w:ascii="PT Astra Serif" w:hAnsi="PT Astra Serif" w:cs="PT Astra Serif"/>
          <w:b/>
          <w:sz w:val="28"/>
          <w:szCs w:val="28"/>
        </w:rPr>
        <w:t>= (КТ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ф.резi</w:t>
      </w:r>
      <w:r>
        <w:rPr>
          <w:rFonts w:ascii="PT Astra Serif" w:hAnsi="PT Astra Serif" w:cs="PT Astra Serif"/>
          <w:b/>
          <w:sz w:val="28"/>
          <w:szCs w:val="28"/>
        </w:rPr>
        <w:t xml:space="preserve"> / КТ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пл.резi</w:t>
      </w:r>
      <w:r>
        <w:rPr>
          <w:rFonts w:ascii="PT Astra Serif" w:hAnsi="PT Astra Serif" w:cs="PT Astra Serif"/>
          <w:b/>
          <w:sz w:val="28"/>
          <w:szCs w:val="28"/>
        </w:rPr>
        <w:t xml:space="preserve">)*100% </w:t>
      </w:r>
    </w:p>
    <w:p>
      <w:pPr>
        <w:ind w:firstLine="794"/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</w:p>
    <w:p>
      <w:pPr>
        <w:spacing/>
        <w:jc w:val="both"/>
        <w:tabs defTabSz="708">
          <w:tab w:val="left" w:pos="57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ab/>
        <w:tab/>
        <w:t>Мероприятия (результаты) с типом "Осуществление текущей деятельности" не включаются в расчет уровня достижения.</w:t>
      </w:r>
    </w:p>
    <w:p>
      <w:pPr>
        <w:spacing/>
        <w:jc w:val="both"/>
        <w:tabs defTabSz="708">
          <w:tab w:val="left" w:pos="57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ab/>
        <w:tab/>
        <w:t>Оценка качества финансового управления (ФУ</w:t>
      </w:r>
      <w:r>
        <w:rPr>
          <w:rFonts w:ascii="PT Astra Serif" w:hAnsi="PT Astra Serif" w:cs="PT Astra Serif"/>
          <w:sz w:val="28"/>
          <w:szCs w:val="28"/>
          <w:vertAlign w:val="subscript"/>
        </w:rPr>
        <w:t>мп</w:t>
      </w:r>
      <w:r>
        <w:rPr>
          <w:rFonts w:ascii="PT Astra Serif" w:hAnsi="PT Astra Serif" w:cs="PT Astra Serif"/>
          <w:sz w:val="28"/>
          <w:szCs w:val="28"/>
        </w:rPr>
        <w:t>) при реализации программы за счет всех источников, направленных на реализацию программы (комплексной программы), рассчитывается по формуле: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spacing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Фу</w:t>
      </w:r>
      <w:r>
        <w:rPr>
          <w:rFonts w:ascii="PT Astra Serif" w:hAnsi="PT Astra Serif" w:cs="PT Astra Serif"/>
          <w:b/>
          <w:bCs/>
          <w:sz w:val="28"/>
          <w:szCs w:val="28"/>
          <w:vertAlign w:val="subscript"/>
        </w:rPr>
        <w:t xml:space="preserve">мп </w:t>
      </w:r>
      <w:r>
        <w:rPr>
          <w:rFonts w:ascii="PT Astra Serif" w:hAnsi="PT Astra Serif" w:cs="PT Astra Serif"/>
          <w:b/>
          <w:bCs/>
          <w:sz w:val="28"/>
          <w:szCs w:val="28"/>
        </w:rPr>
        <w:t>= (Оф</w:t>
      </w:r>
      <w:r>
        <w:rPr>
          <w:rFonts w:ascii="PT Astra Serif" w:hAnsi="PT Astra Serif" w:cs="PT Astra Serif"/>
          <w:b/>
          <w:bCs/>
          <w:sz w:val="28"/>
          <w:szCs w:val="28"/>
          <w:vertAlign w:val="subscript"/>
        </w:rPr>
        <w:t xml:space="preserve">ф </w:t>
      </w:r>
      <w:r>
        <w:rPr>
          <w:rFonts w:ascii="PT Astra Serif" w:hAnsi="PT Astra Serif" w:cs="PT Astra Serif"/>
          <w:b/>
          <w:bCs/>
          <w:sz w:val="28"/>
          <w:szCs w:val="28"/>
        </w:rPr>
        <w:t>/ Оф</w:t>
      </w:r>
      <w:r>
        <w:rPr>
          <w:rFonts w:ascii="PT Astra Serif" w:hAnsi="PT Astra Serif" w:cs="PT Astra Serif"/>
          <w:b/>
          <w:bCs/>
          <w:sz w:val="28"/>
          <w:szCs w:val="28"/>
          <w:vertAlign w:val="subscript"/>
        </w:rPr>
        <w:t>п</w:t>
      </w:r>
      <w:r>
        <w:rPr>
          <w:rFonts w:ascii="PT Astra Serif" w:hAnsi="PT Astra Serif" w:cs="PT Astra Serif"/>
          <w:b/>
          <w:bCs/>
          <w:sz w:val="28"/>
          <w:szCs w:val="28"/>
        </w:rPr>
        <w:t>)*100%</w:t>
      </w:r>
      <w:r>
        <w:rPr>
          <w:rFonts w:ascii="PT Astra Serif" w:hAnsi="PT Astra Serif" w:cs="PT Astra Serif"/>
          <w:sz w:val="28"/>
          <w:szCs w:val="28"/>
        </w:rPr>
        <w:t xml:space="preserve"> ,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ФУ</w:t>
      </w:r>
      <w:r>
        <w:rPr>
          <w:rFonts w:ascii="PT Astra Serif" w:hAnsi="PT Astra Serif" w:cs="PT Astra Serif"/>
          <w:sz w:val="28"/>
          <w:szCs w:val="28"/>
          <w:vertAlign w:val="subscript"/>
        </w:rPr>
        <w:t>мп</w:t>
      </w:r>
      <w:r>
        <w:rPr>
          <w:rFonts w:ascii="PT Astra Serif" w:hAnsi="PT Astra Serif" w:cs="PT Astra Serif"/>
          <w:sz w:val="28"/>
          <w:szCs w:val="28"/>
        </w:rPr>
        <w:t xml:space="preserve"> - качество финансового управления реализацией программы (комплексной программы) 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ОФ</w:t>
      </w:r>
      <w:r>
        <w:rPr>
          <w:rFonts w:ascii="PT Astra Serif" w:hAnsi="PT Astra Serif" w:cs="PT Astra Serif"/>
          <w:sz w:val="28"/>
          <w:szCs w:val="28"/>
          <w:vertAlign w:val="subscript"/>
        </w:rPr>
        <w:t>ф</w:t>
      </w:r>
      <w:r>
        <w:rPr>
          <w:rFonts w:ascii="PT Astra Serif" w:hAnsi="PT Astra Serif" w:cs="PT Astra Serif"/>
          <w:sz w:val="28"/>
          <w:szCs w:val="28"/>
        </w:rPr>
        <w:t xml:space="preserve"> - фактический объем финансирования региональных проектов, направленных на достижение национальных проектов, иных региональных проектов, ведомственных региональных проектов, комплексов процессных мероприятий, включенных в программу (кассовое исполнение за счет всех источников финансового обеспечения, указанных в пункте 4.2 настоящего Положения);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ОФ</w:t>
      </w:r>
      <w:r>
        <w:rPr>
          <w:rFonts w:ascii="PT Astra Serif" w:hAnsi="PT Astra Serif" w:cs="PT Astra Serif"/>
          <w:sz w:val="28"/>
          <w:szCs w:val="28"/>
          <w:vertAlign w:val="subscript"/>
        </w:rPr>
        <w:t>п</w:t>
      </w:r>
      <w:r>
        <w:rPr>
          <w:rFonts w:ascii="PT Astra Serif" w:hAnsi="PT Astra Serif" w:cs="PT Astra Serif"/>
          <w:sz w:val="28"/>
          <w:szCs w:val="28"/>
        </w:rPr>
        <w:t xml:space="preserve"> - плановый объем финансирования региональных проектов, направленных на достижение национальных проектов, иных региональных проектов, ведомственных региональных проектов, комплексов процессных мероприятий, включенных в программу (сводная бюджетная роспись соответствующих бюджетов и внебюджетные источники, предусмотренные паспортом программы).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 количественному значению оценки (R</w:t>
      </w:r>
      <w:r>
        <w:rPr>
          <w:rFonts w:ascii="PT Astra Serif" w:hAnsi="PT Astra Serif" w:cs="PT Astra Serif"/>
          <w:sz w:val="28"/>
          <w:szCs w:val="28"/>
          <w:vertAlign w:val="subscript"/>
        </w:rPr>
        <w:t>мп</w:t>
      </w:r>
      <w:r>
        <w:rPr>
          <w:rFonts w:ascii="PT Astra Serif" w:hAnsi="PT Astra Serif" w:cs="PT Astra Serif"/>
          <w:sz w:val="28"/>
          <w:szCs w:val="28"/>
        </w:rPr>
        <w:t>) программе присваивается соответствующая качественная оценка: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-высокая эффективность реализации;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-эффективность реализации выше средней;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-эффективность реализации ниже средней;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-низкая эффективность реализации.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Программа относится к категории "высокая эффективность реализации", если оценка эффективности реализации программы (комплексной программы) составляет более 90 процентов (включительно).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Программа (комплексная программа) относится к категории "эффективность реализации выше среднего", если оценка эффективности реализации программы (комплексной программы) находится в диапазоне выше среднего значения эффективности реализации программ R</w:t>
      </w:r>
      <w:r>
        <w:rPr>
          <w:rFonts w:ascii="PT Astra Serif" w:hAnsi="PT Astra Serif" w:cs="PT Astra Serif"/>
          <w:sz w:val="28"/>
          <w:szCs w:val="28"/>
          <w:vertAlign w:val="subscript"/>
        </w:rPr>
        <w:t>мп.ср</w:t>
      </w:r>
      <w:r>
        <w:rPr>
          <w:rFonts w:ascii="PT Astra Serif" w:hAnsi="PT Astra Serif" w:cs="PT Astra Serif"/>
          <w:sz w:val="28"/>
          <w:szCs w:val="28"/>
        </w:rPr>
        <w:t xml:space="preserve"> до 90 процентов.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Программа (комплексная программа) относится к категории "эффективность реализации ниже среднего", если оценка эффективности реализации муниципальной программы (комплексной программы)  находится в диапазоне ниже среднего значения эффективности реализации программ R</w:t>
      </w:r>
      <w:r>
        <w:rPr>
          <w:rFonts w:ascii="PT Astra Serif" w:hAnsi="PT Astra Serif" w:cs="PT Astra Serif"/>
          <w:sz w:val="28"/>
          <w:szCs w:val="28"/>
          <w:vertAlign w:val="subscript"/>
        </w:rPr>
        <w:t>мп.ср</w:t>
      </w:r>
      <w:r>
        <w:rPr>
          <w:rFonts w:ascii="PT Astra Serif" w:hAnsi="PT Astra Serif" w:cs="PT Astra Serif"/>
          <w:sz w:val="28"/>
          <w:szCs w:val="28"/>
        </w:rPr>
        <w:t xml:space="preserve"> до 40 процентов.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Программа (комплексная программа) относится к категории "низкая эффективность реализации", если оценка эффективности реализации программы  (комплексной программы) составляет менее 40 процентов (включительно).</w:t>
      </w:r>
    </w:p>
    <w:p>
      <w:pPr>
        <w:ind w:firstLine="708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Среднее значение эффективности реализации программ (комплексных программ)  R</w:t>
      </w:r>
      <w:r>
        <w:rPr>
          <w:rFonts w:ascii="PT Astra Serif" w:hAnsi="PT Astra Serif" w:cs="PT Astra Serif"/>
          <w:sz w:val="28"/>
          <w:szCs w:val="28"/>
          <w:vertAlign w:val="subscript"/>
        </w:rPr>
        <w:t>мп.ср</w:t>
      </w:r>
      <w:r>
        <w:rPr>
          <w:rFonts w:ascii="PT Astra Serif" w:hAnsi="PT Astra Serif" w:cs="PT Astra Serif"/>
          <w:sz w:val="28"/>
          <w:szCs w:val="28"/>
        </w:rPr>
        <w:t xml:space="preserve"> в отчетном году рассчитывается по формуле:</w:t>
      </w:r>
    </w:p>
    <w:p>
      <w:pPr>
        <w:ind w:firstLine="851"/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ind w:firstLine="851"/>
        <w:spacing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R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мп.ср</w:t>
      </w:r>
      <w:r>
        <w:rPr>
          <w:rFonts w:ascii="PT Astra Serif" w:hAnsi="PT Astra Serif" w:cs="PT Astra Serif"/>
          <w:b/>
          <w:sz w:val="28"/>
          <w:szCs w:val="28"/>
        </w:rPr>
        <w:t xml:space="preserve">= </w:t>
      </w:r>
      <w:r>
        <w:rPr>
          <w:rFonts w:ascii="PT Astra Serif" w:hAnsi="PT Astra Serif" w:cs="PT Astra Serif"/>
          <w:b/>
          <w:sz w:val="30"/>
          <w:szCs w:val="30"/>
          <w:lang w:eastAsia="zh-cn"/>
        </w:rPr>
        <w:t>(Ʃ</w:t>
      </w:r>
      <w:r>
        <w:rPr>
          <w:rFonts w:ascii="PT Astra Serif" w:hAnsi="PT Astra Serif" w:cs="PT Astra Serif"/>
          <w:b/>
          <w:vertAlign w:val="superscript"/>
          <w:lang w:eastAsia="zh-cn"/>
        </w:rPr>
        <w:t>G</w:t>
      </w:r>
      <w:r>
        <w:rPr>
          <w:rFonts w:ascii="PT Astra Serif" w:hAnsi="PT Astra Serif" w:cs="PT Astra Serif"/>
          <w:b/>
          <w:sz w:val="30"/>
          <w:szCs w:val="30"/>
          <w:vertAlign w:val="superscript"/>
          <w:lang w:eastAsia="zh-cn"/>
        </w:rPr>
        <w:t xml:space="preserve"> </w:t>
      </w:r>
      <w:r>
        <w:rPr>
          <w:rFonts w:ascii="PT Astra Serif" w:hAnsi="PT Astra Serif" w:cs="PT Astra Serif"/>
          <w:b/>
          <w:sz w:val="30"/>
          <w:szCs w:val="30"/>
          <w:vertAlign w:val="subscript"/>
          <w:lang w:eastAsia="zh-cn"/>
        </w:rPr>
        <w:t>i=1</w:t>
      </w:r>
      <w:r>
        <w:rPr>
          <w:rFonts w:ascii="PT Astra Serif" w:hAnsi="PT Astra Serif" w:cs="PT Astra Serif"/>
          <w:b/>
          <w:sz w:val="28"/>
          <w:szCs w:val="28"/>
        </w:rPr>
        <w:t>R</w:t>
      </w:r>
      <w:r>
        <w:rPr>
          <w:rFonts w:ascii="PT Astra Serif" w:hAnsi="PT Astra Serif" w:cs="PT Astra Serif"/>
          <w:b/>
          <w:sz w:val="28"/>
          <w:szCs w:val="28"/>
          <w:vertAlign w:val="subscript"/>
        </w:rPr>
        <w:t>мп.ср</w:t>
      </w:r>
      <w:r>
        <w:rPr>
          <w:rFonts w:ascii="PT Astra Serif" w:hAnsi="PT Astra Serif" w:cs="PT Astra Serif"/>
          <w:b/>
          <w:sz w:val="28"/>
          <w:szCs w:val="28"/>
        </w:rPr>
        <w:t>) / G ,</w:t>
      </w:r>
    </w:p>
    <w:p>
      <w:pPr>
        <w:ind w:firstLine="851"/>
        <w:spacing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где: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R</w:t>
      </w:r>
      <w:r>
        <w:rPr>
          <w:rFonts w:ascii="PT Astra Serif" w:hAnsi="PT Astra Serif" w:cs="PT Astra Serif"/>
          <w:sz w:val="28"/>
          <w:szCs w:val="28"/>
          <w:vertAlign w:val="subscript"/>
        </w:rPr>
        <w:t>мп.ср</w:t>
      </w:r>
      <w:r>
        <w:rPr>
          <w:rFonts w:ascii="PT Astra Serif" w:hAnsi="PT Astra Serif" w:cs="PT Astra Serif"/>
          <w:sz w:val="28"/>
          <w:szCs w:val="28"/>
        </w:rPr>
        <w:t xml:space="preserve"> - среднее значение эффективности реализации программ (комплексных программ);</w:t>
      </w:r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G - количество программ (комплексных программ) . </w:t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2"/>
          <w:type w:val="nextPage"/>
          <w:pgSz w:h="16838" w:w="11906"/>
          <w:pgMar w:left="1701" w:top="1134" w:right="850" w:bottom="1134" w:header="340" w:footer="0"/>
          <w:paperSrc w:first="0" w:other="0" a="0" b="0"/>
          <w:pgNumType w:fmt="decimal"/>
          <w:titlePg/>
          <w:tmGutter w:val="5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4"/>
        <w:ind w:firstLine="0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bookmarkStart w:id="6" w:name="__DdeLink__5535_857802040_Копия_2"/>
      <w:r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  <w:r>
        <w:rPr>
          <w:rFonts w:ascii="Times New Roman" w:hAnsi="Times New Roman" w:cs="Times New Roman"/>
        </w:rPr>
      </w:r>
    </w:p>
    <w:p>
      <w:pPr>
        <w:pStyle w:val="para14"/>
        <w: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муниципальной программе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и поддержка </w:t>
      </w:r>
    </w:p>
    <w:p>
      <w:pPr>
        <w:pStyle w:val="para14"/>
        <w: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субъектов малого и среднего предпринимательства </w:t>
      </w:r>
    </w:p>
    <w:p>
      <w:pPr>
        <w:pStyle w:val="para14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Анжеро-Судженского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</w:rPr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утвержденной постановлением администрации </w:t>
      </w:r>
      <w:r/>
    </w:p>
    <w:p>
      <w:pPr>
        <w:pStyle w:val="para23"/>
        <w:ind w:left="4253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Анжеро-Судженского городского округа </w:t>
      </w:r>
      <w:r/>
      <w:bookmarkEnd w:id="6"/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t xml:space="preserve">      от _________________   № ________ </w:t>
      </w:r>
    </w:p>
    <w:p>
      <w:pPr>
        <w:spacing/>
        <w:jc w:val="center"/>
        <w:tabs defTabSz="708">
          <w:tab w:val="left" w:pos="6195" w:leader="none"/>
          <w:tab w:val="left" w:pos="706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tabs defTabSz="708">
          <w:tab w:val="left" w:pos="6195" w:leader="none"/>
          <w:tab w:val="left" w:pos="7065" w:leader="none"/>
        </w:tabs>
        <w:rPr>
          <w:sz w:val="28"/>
          <w:szCs w:val="28"/>
        </w:rPr>
      </w:pPr>
      <w:r>
        <w:rPr>
          <w:sz w:val="28"/>
          <w:szCs w:val="28"/>
        </w:rPr>
        <w:t>Реестр документов, входящих в состав муниципальной программы</w:t>
      </w:r>
    </w:p>
    <w:p>
      <w:pPr>
        <w:spacing/>
        <w:jc w:val="center"/>
        <w:tabs defTabSz="708">
          <w:tab w:val="left" w:pos="6195" w:leader="none"/>
          <w:tab w:val="left" w:pos="7065" w:leader="none"/>
        </w:tabs>
      </w:pPr>
      <w:r/>
    </w:p>
    <w:tbl>
      <w:tblPr>
        <w:name w:val="Таблица2"/>
        <w:tabOrder w:val="0"/>
        <w:jc w:val="left"/>
        <w:tblInd w:w="261" w:type="dxa"/>
        <w:tblW w:w="14163" w:type="dxa"/>
        <w:pPr>
          <w:ind w:left="261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761"/>
        <w:gridCol w:w="2980"/>
        <w:gridCol w:w="2027"/>
        <w:gridCol w:w="2128"/>
        <w:gridCol w:w="2000"/>
        <w:gridCol w:w="1902"/>
        <w:gridCol w:w="2365"/>
      </w:tblGrid>
      <w:tr>
        <w:trPr>
          <w:tblHeader w:val="0"/>
          <w:cantSplit w:val="0"/>
          <w:trHeight w:val="1113" w:hRule="atLeast"/>
        </w:trPr>
        <w:tc>
          <w:tcPr>
            <w:tcW w:w="761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№</w:t>
            </w:r>
            <w:r>
              <w:rPr>
                <w:spacing w:val="-2" w:percent="9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п/п</w:t>
            </w:r>
            <w:r/>
          </w:p>
        </w:tc>
        <w:tc>
          <w:tcPr>
            <w:tcW w:w="298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Тип</w:t>
            </w:r>
            <w:r>
              <w:rPr>
                <w:spacing w:val="-2" w:percent="9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документа</w:t>
            </w:r>
            <w:r/>
          </w:p>
        </w:tc>
        <w:tc>
          <w:tcPr>
            <w:tcW w:w="2027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Вид</w:t>
            </w:r>
            <w:r>
              <w:rPr>
                <w:spacing w:val="-3" w:percent="9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документа</w:t>
            </w:r>
            <w:r/>
          </w:p>
        </w:tc>
        <w:tc>
          <w:tcPr>
            <w:tcW w:w="2128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</w:pPr>
            <w:r/>
          </w:p>
          <w:p>
            <w:pPr>
              <w:pStyle w:val="para15"/>
              <w:ind w:hanging="142"/>
            </w:pPr>
            <w:r>
              <w:rPr>
                <w:spacing w:val="-1" w:percent="99"/>
                <w:sz w:val="20"/>
                <w:szCs w:val="20"/>
              </w:rPr>
              <w:t>Наименование</w:t>
            </w:r>
            <w:r>
              <w:rPr>
                <w:spacing w:val="-40" w:percent="5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документа</w:t>
            </w:r>
            <w:r/>
          </w:p>
        </w:tc>
        <w:tc>
          <w:tcPr>
            <w:tcW w:w="200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Реквизиты</w:t>
            </w:r>
            <w:r/>
          </w:p>
        </w:tc>
        <w:tc>
          <w:tcPr>
            <w:tcW w:w="1902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Разработчик</w:t>
            </w:r>
            <w:r/>
          </w:p>
        </w:tc>
        <w:tc>
          <w:tcPr>
            <w:tcW w:w="2365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</w:pPr>
            <w:r/>
          </w:p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Гиперссылка</w:t>
            </w:r>
            <w:r>
              <w:rPr>
                <w:spacing w:val="1" w:percent="10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2" w:percent="9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текст</w:t>
            </w:r>
            <w:r>
              <w:rPr>
                <w:spacing w:val="-3" w:percent="9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документа</w:t>
            </w:r>
            <w:r/>
          </w:p>
        </w:tc>
      </w:tr>
      <w:tr>
        <w:trPr>
          <w:tblHeader w:val="0"/>
          <w:cantSplit w:val="0"/>
          <w:trHeight w:val="230" w:hRule="atLeast"/>
        </w:trPr>
        <w:tc>
          <w:tcPr>
            <w:tcW w:w="761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1</w:t>
            </w:r>
            <w:r/>
          </w:p>
        </w:tc>
        <w:tc>
          <w:tcPr>
            <w:tcW w:w="298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2</w:t>
            </w:r>
            <w:r/>
          </w:p>
        </w:tc>
        <w:tc>
          <w:tcPr>
            <w:tcW w:w="2027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3</w:t>
            </w:r>
            <w:r/>
          </w:p>
        </w:tc>
        <w:tc>
          <w:tcPr>
            <w:tcW w:w="2128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4</w:t>
            </w:r>
            <w:r/>
          </w:p>
        </w:tc>
        <w:tc>
          <w:tcPr>
            <w:tcW w:w="200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5</w:t>
            </w:r>
            <w:r/>
          </w:p>
        </w:tc>
        <w:tc>
          <w:tcPr>
            <w:tcW w:w="1902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6</w:t>
            </w:r>
            <w:r/>
          </w:p>
        </w:tc>
        <w:tc>
          <w:tcPr>
            <w:tcW w:w="2365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</w:pPr>
            <w:r>
              <w:rPr>
                <w:w w:val="99"/>
                <w:sz w:val="20"/>
                <w:szCs w:val="20"/>
              </w:rPr>
              <w:t>7</w:t>
            </w:r>
            <w:r/>
          </w:p>
        </w:tc>
      </w:tr>
      <w:tr>
        <w:trPr>
          <w:tblHeader w:val="0"/>
          <w:cantSplit w:val="0"/>
          <w:trHeight w:val="405" w:hRule="atLeast"/>
        </w:trPr>
        <w:tc>
          <w:tcPr>
            <w:tcW w:w="14163" w:type="dxa"/>
            <w:gridSpan w:val="7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pacing w:val="-4" w:percent="95"/>
                <w:sz w:val="20"/>
                <w:szCs w:val="20"/>
              </w:rPr>
              <w:t xml:space="preserve"> </w:t>
            </w:r>
            <w:r>
              <w:rPr>
                <w:spacing w:val="-4" w:percent="96"/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униципальная</w:t>
            </w:r>
            <w:r>
              <w:rPr>
                <w:spacing w:val="-4" w:percent="9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программа</w:t>
            </w:r>
            <w:r>
              <w:rPr>
                <w:spacing w:val="-3" w:percent="97"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eastAsia="ru-ru"/>
              </w:rPr>
              <w:t xml:space="preserve">Развитие и поддержка субъектов малого и среднего предпринимательства </w:t>
            </w:r>
          </w:p>
          <w:p>
            <w:pPr>
              <w:pStyle w:val="para15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Анжеро-Судженского городского округа</w:t>
            </w:r>
            <w:r>
              <w:rPr>
                <w:i/>
                <w:iCs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230" w:hRule="atLeast"/>
        </w:trPr>
        <w:tc>
          <w:tcPr>
            <w:tcW w:w="761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</w:pPr>
            <w:r>
              <w:rPr>
                <w:sz w:val="20"/>
                <w:szCs w:val="20"/>
              </w:rPr>
              <w:t>1.</w:t>
            </w:r>
            <w:r/>
          </w:p>
        </w:tc>
        <w:tc>
          <w:tcPr>
            <w:tcW w:w="298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  <w:t>Паспорт муниципальной программы</w:t>
            </w:r>
          </w:p>
        </w:tc>
        <w:tc>
          <w:tcPr>
            <w:tcW w:w="2027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8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  <w:t>Об утверждении муниципальной программы «</w:t>
            </w:r>
            <w:r>
              <w:rPr>
                <w:sz w:val="28"/>
                <w:szCs w:val="28"/>
              </w:rPr>
              <w:t xml:space="preserve">Развитие и поддержка субъектов малого и среднего предпринимательства </w:t>
            </w:r>
          </w:p>
          <w:p>
            <w:pPr>
              <w:widowControl w:val="0"/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Анжеро-Судженского городского округа</w:t>
            </w:r>
            <w:r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  <w:t>»</w:t>
            </w:r>
          </w:p>
        </w:tc>
        <w:tc>
          <w:tcPr>
            <w:tcW w:w="200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  <w:t xml:space="preserve">От </w:t>
            </w:r>
          </w:p>
          <w:p>
            <w:pPr>
              <w:pStyle w:val="para15"/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</w:rPr>
              <w:t>№</w:t>
            </w:r>
          </w:p>
        </w:tc>
        <w:tc>
          <w:tcPr>
            <w:tcW w:w="1902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22"/>
              <w:widowControl w:val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Отдел промышленности и предпринимательства управления экономического развития, промышленности и предпринимательства администрации Анжеро-Судженского городского округа</w:t>
            </w:r>
          </w:p>
        </w:tc>
        <w:tc>
          <w:tcPr>
            <w:tcW w:w="2365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0"/>
              <w:outlineLvl w:val="1"/>
              <w:rPr>
                <w:color w:val="000000"/>
                <w:kern w:val="1"/>
                <w:lang w:eastAsia="ru-ru"/>
              </w:rPr>
            </w:pPr>
            <w:r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  <w:lang w:eastAsia="ru-ru"/>
              </w:rPr>
              <w:t>Приложение 2</w:t>
            </w:r>
            <w:r>
              <w:rPr>
                <w:color w:val="000000"/>
                <w:kern w:val="1"/>
                <w:lang w:eastAsia="ru-ru"/>
              </w:rPr>
            </w:r>
          </w:p>
          <w:p>
            <w:pPr>
              <w:pStyle w:val="para14"/>
              <w:ind w:firstLine="0"/>
              <w: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  <w:lang w:eastAsia="ru-ru"/>
              </w:rPr>
              <w:t>к муниципальной программе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r>
            <w:bookmarkStart w:id="7" w:name="__DdeLink__5547_857802040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Развитие и поддержка субъектов малого и среднего предпринимательства </w:t>
            </w:r>
          </w:p>
          <w:p>
            <w:pPr>
              <w:pStyle w:val="para14"/>
              <w:ind w:firstLine="0"/>
              <w:spacing/>
              <w:jc w:val="both"/>
              <w:rPr>
                <w:kern w:val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Анжеро-Судженского городского округа</w:t>
            </w:r>
            <w:r>
              <w:rPr>
                <w:rFonts w:ascii="PT Astra Serif" w:hAnsi="PT Astra Serif" w:cs="PT Astra Serif"/>
                <w:color w:val="000000"/>
                <w:kern w:val="1"/>
                <w:sz w:val="28"/>
                <w:szCs w:val="28"/>
                <w:lang w:eastAsia="ru-ru"/>
              </w:rPr>
              <w:t>»</w:t>
            </w:r>
            <w:r>
              <w:rPr>
                <w:kern w:val="1"/>
                <w:lang w:eastAsia="ru-ru"/>
              </w:rPr>
            </w:r>
            <w:bookmarkEnd w:id="7"/>
            <w:r>
              <w:rPr>
                <w:kern w:val="1"/>
                <w:lang w:eastAsia="ru-ru"/>
              </w:rPr>
            </w:r>
          </w:p>
          <w:p>
            <w:pPr>
              <w:pStyle w:val="para23"/>
              <w:spacing w:before="0" w:after="0" w:line="240" w:lineRule="auto"/>
              <w:jc w:val="right"/>
              <w:widowControl w:val="0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blHeader w:val="0"/>
          <w:cantSplit w:val="0"/>
          <w:trHeight w:val="309" w:hRule="atLeast"/>
        </w:trPr>
        <w:tc>
          <w:tcPr>
            <w:tcW w:w="14163" w:type="dxa"/>
            <w:gridSpan w:val="7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  <w:rPr>
                <w:rFonts w:ascii="PT Astra Serif" w:hAnsi="PT Astra Serif" w:cs="PT Astra Serif"/>
                <w:i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pacing w:val="-4" w:percent="97"/>
                <w:sz w:val="28"/>
                <w:szCs w:val="28"/>
              </w:rPr>
              <w:t>1</w:t>
            </w:r>
            <w:r>
              <w:rPr>
                <w:color w:val="000000"/>
                <w:spacing w:val="-4" w:percent="96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Структурный</w:t>
            </w:r>
            <w:r>
              <w:rPr>
                <w:color w:val="000000"/>
                <w:spacing w:val="-3" w:percent="97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элемент</w:t>
            </w:r>
            <w:r>
              <w:rPr>
                <w:color w:val="000000"/>
                <w:spacing w:val="-3" w:percent="97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«Комплекс процессных мероприятий «</w:t>
            </w:r>
            <w:r>
              <w:rPr>
                <w:sz w:val="28"/>
                <w:szCs w:val="28"/>
                <w:lang w:eastAsia="ru-ru"/>
              </w:rPr>
              <w:t>Формирования благоприятных экономических, правовых и организационных условий для развития малого и среднего предпринимательства на территории Анжеро-Судженского городского округа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PT Astra Serif" w:hAnsi="PT Astra Serif" w:cs="PT Astra Serif"/>
                <w:i/>
                <w:color w:val="000000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230" w:hRule="atLeast"/>
        </w:trPr>
        <w:tc>
          <w:tcPr>
            <w:tcW w:w="761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center"/>
              <w:rPr>
                <w:color w:val="000000"/>
                <w:kern w:val="1"/>
                <w:sz w:val="28"/>
                <w:szCs w:val="28"/>
              </w:rPr>
            </w:pPr>
            <w:r>
              <w:rPr>
                <w:color w:val="000000"/>
                <w:kern w:val="1"/>
                <w:sz w:val="28"/>
                <w:szCs w:val="28"/>
              </w:rPr>
              <w:t>1.</w:t>
            </w:r>
          </w:p>
        </w:tc>
        <w:tc>
          <w:tcPr>
            <w:tcW w:w="298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spacing/>
              <w:jc w:val="both"/>
              <w:rPr>
                <w:color w:val="000000"/>
                <w:kern w:val="1"/>
                <w:sz w:val="28"/>
                <w:szCs w:val="28"/>
              </w:rPr>
            </w:pPr>
            <w:r>
              <w:rPr>
                <w:color w:val="000000"/>
                <w:kern w:val="1"/>
                <w:sz w:val="28"/>
                <w:szCs w:val="28"/>
              </w:rPr>
              <w:t>Паспорт комплекса процессных мероприятий «</w:t>
            </w:r>
            <w:r>
              <w:rPr>
                <w:sz w:val="28"/>
                <w:szCs w:val="28"/>
                <w:lang w:eastAsia="ru-ru"/>
              </w:rPr>
            </w:r>
            <w:bookmarkStart w:id="8" w:name="__DdeLink__9796_3429019520_Копия_1"/>
            <w:r>
              <w:rPr>
                <w:sz w:val="28"/>
                <w:szCs w:val="28"/>
                <w:lang w:eastAsia="ru-ru"/>
              </w:rPr>
              <w:t>Формирования благоприятных экономических, правовых и организационных условий для развития малого и среднего предпринимательства на территории Анжеро-Судженского городского округ</w:t>
            </w:r>
            <w:r>
              <w:rPr>
                <w:color w:val="000000"/>
                <w:kern w:val="1"/>
                <w:sz w:val="28"/>
                <w:szCs w:val="28"/>
              </w:rPr>
              <w:t>а</w:t>
            </w:r>
            <w:bookmarkEnd w:id="8"/>
            <w:r>
              <w:rPr>
                <w:color w:val="000000"/>
                <w:kern w:val="1"/>
                <w:sz w:val="28"/>
                <w:szCs w:val="28"/>
              </w:rPr>
              <w:t>»</w:t>
            </w:r>
          </w:p>
          <w:p>
            <w:pPr>
              <w:pStyle w:val="para15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</w:r>
          </w:p>
        </w:tc>
        <w:tc>
          <w:tcPr>
            <w:tcW w:w="2027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rPr>
                <w:color w:val="000000"/>
                <w:kern w:val="1"/>
                <w:sz w:val="28"/>
                <w:szCs w:val="28"/>
              </w:rPr>
            </w:pPr>
            <w:r>
              <w:rPr>
                <w:color w:val="000000"/>
                <w:kern w:val="1"/>
                <w:sz w:val="28"/>
                <w:szCs w:val="28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8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8"/>
                <w:szCs w:val="28"/>
              </w:rPr>
            </w:pPr>
            <w:r>
              <w:rPr>
                <w:color w:val="000000"/>
                <w:kern w:val="1"/>
                <w:sz w:val="28"/>
                <w:szCs w:val="28"/>
              </w:rPr>
              <w:t>Об утверждении муниципальной программы «</w:t>
            </w:r>
            <w:r>
              <w:rPr>
                <w:sz w:val="28"/>
                <w:szCs w:val="28"/>
              </w:rPr>
              <w:t xml:space="preserve">Развитие и поддержка субъектов малого и среднего предпринимательства </w:t>
            </w:r>
          </w:p>
          <w:p>
            <w:pPr>
              <w:widowControl w:val="0"/>
              <w:rPr>
                <w:color w:val="000000"/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Анжеро-Судженского городского округа</w:t>
            </w:r>
            <w:r>
              <w:rPr>
                <w:color w:val="000000"/>
                <w:kern w:val="1"/>
                <w:sz w:val="28"/>
                <w:szCs w:val="28"/>
              </w:rPr>
              <w:t>»</w:t>
            </w:r>
          </w:p>
          <w:p>
            <w:pPr>
              <w:widowControl w:val="0"/>
              <w:rPr>
                <w:color w:val="000000"/>
                <w:kern w:val="1"/>
                <w:sz w:val="28"/>
                <w:szCs w:val="28"/>
              </w:rPr>
            </w:pPr>
            <w:r>
              <w:rPr>
                <w:color w:val="000000"/>
                <w:kern w:val="1"/>
                <w:sz w:val="28"/>
                <w:szCs w:val="28"/>
              </w:rPr>
            </w:r>
          </w:p>
        </w:tc>
        <w:tc>
          <w:tcPr>
            <w:tcW w:w="2000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5"/>
              <w:rPr>
                <w:color w:val="000000"/>
                <w:kern w:val="1"/>
                <w:sz w:val="28"/>
                <w:szCs w:val="28"/>
              </w:rPr>
            </w:pPr>
            <w:r>
              <w:rPr>
                <w:color w:val="000000"/>
                <w:kern w:val="1"/>
                <w:sz w:val="28"/>
                <w:szCs w:val="28"/>
              </w:rPr>
              <w:t xml:space="preserve">От </w:t>
            </w:r>
          </w:p>
          <w:p>
            <w:pPr>
              <w:pStyle w:val="para15"/>
              <w:rPr>
                <w:color w:val="000000"/>
                <w:kern w:val="1"/>
                <w:sz w:val="28"/>
                <w:szCs w:val="28"/>
              </w:rPr>
            </w:pPr>
            <w:r>
              <w:rPr>
                <w:color w:val="000000"/>
                <w:kern w:val="1"/>
                <w:sz w:val="28"/>
                <w:szCs w:val="28"/>
              </w:rPr>
              <w:t>№</w:t>
            </w:r>
          </w:p>
        </w:tc>
        <w:tc>
          <w:tcPr>
            <w:tcW w:w="1902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22"/>
              <w:widowControl w:val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Отдел промышленности и предпринимательства управления экономического развития, промышленности и предпринимательства администрации Анжеро-Судженского городского округа</w:t>
            </w:r>
          </w:p>
        </w:tc>
        <w:tc>
          <w:tcPr>
            <w:tcW w:w="2365" w:type="dxa"/>
            <w:shd w:val="none"/>
            <w:tcMar>
              <w:top w:w="0" w:type="dxa"/>
              <w:left w:w="5" w:type="dxa"/>
              <w:bottom w:w="0" w:type="dxa"/>
              <w:right w:w="5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0"/>
              <w:outlineLvl w:val="1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Приложение 3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r>
          </w:p>
          <w:p>
            <w:pPr>
              <w:pStyle w:val="para14"/>
              <w:ind w:firstLine="0"/>
              <w: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к муниципальной программе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Развитие и поддержка субъектов малого и среднего предпринимательства </w:t>
            </w:r>
          </w:p>
          <w:p>
            <w:pPr>
              <w:pStyle w:val="para14"/>
              <w:ind w:firstLine="0"/>
              <w:spacing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Анжеро-Судженского городского округа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»</w:t>
            </w:r>
          </w:p>
        </w:tc>
      </w:tr>
    </w:tbl>
    <w:p>
      <w:r/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3"/>
          <w:type w:val="nextPage"/>
          <w:pgSz w:h="11906" w:w="16838" w:orient="landscape"/>
          <w:pgMar w:left="1701" w:top="1134" w:right="850" w:bottom="1134" w:header="340" w:footer="0"/>
          <w:paperSrc w:first="0" w:other="0" a="0" b="0"/>
          <w:pgNumType w:fmt="decimal"/>
          <w:titlePg/>
          <w:tmGutter w:val="5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4"/>
        <w:ind w:firstLine="0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bookmarkStart w:id="9" w:name="__DdeLink__5535_857802040_Копия_1"/>
      <w:r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  <w:r>
        <w:rPr>
          <w:rFonts w:ascii="Times New Roman" w:hAnsi="Times New Roman" w:cs="Times New Roman"/>
        </w:rPr>
      </w:r>
    </w:p>
    <w:p>
      <w:pPr>
        <w:pStyle w:val="para14"/>
        <w: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муниципальной программе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и поддержка </w:t>
      </w:r>
    </w:p>
    <w:p>
      <w:pPr>
        <w:pStyle w:val="para14"/>
        <w: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субъектов малого и среднего предпринимательства </w:t>
      </w:r>
    </w:p>
    <w:p>
      <w:pPr>
        <w:pStyle w:val="para14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Анжеро-Судженского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</w:rPr>
      </w:r>
    </w:p>
    <w:p>
      <w:pPr>
        <w:pStyle w:val="para23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утвержденной постановлением администрации </w:t>
      </w:r>
      <w:r/>
    </w:p>
    <w:p>
      <w:pPr>
        <w:pStyle w:val="para23"/>
        <w:ind w:left="4253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Анжеро-Судженского городского округа </w:t>
      </w:r>
      <w:r/>
      <w:bookmarkEnd w:id="9"/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     от _________________   № ________ </w:t>
      </w:r>
      <w:r/>
    </w:p>
    <w:p>
      <w:pPr>
        <w: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</w:p>
    <w:p>
      <w:pPr>
        <w:spacing/>
        <w:jc w:val="center"/>
      </w:pPr>
      <w:r/>
    </w:p>
    <w:p>
      <w:pPr>
        <w:spacing/>
        <w:jc w:val="center"/>
        <w:tabs defTabSz="708">
          <w:tab w:val="left" w:pos="6195" w:leader="none"/>
          <w:tab w:val="left" w:pos="7065" w:leader="none"/>
        </w:tabs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«Развитие и поддержка субъектов малого и среднего предпринимательства </w:t>
      </w:r>
    </w:p>
    <w:p>
      <w:pPr>
        <w:spacing/>
        <w:jc w:val="center"/>
        <w:rPr>
          <w:sz w:val="20"/>
          <w:szCs w:val="20"/>
          <w:noProof w:val="1"/>
        </w:rPr>
      </w:pPr>
      <w:r>
        <w:rPr>
          <w:sz w:val="28"/>
          <w:szCs w:val="28"/>
        </w:rPr>
        <w:t>Анжеро-Судженского городского округа»</w:t>
      </w:r>
      <w:r>
        <w:rPr>
          <w:sz w:val="20"/>
          <w:szCs w:val="20"/>
          <w:noProof w:val="1"/>
        </w:rPr>
        <w:t xml:space="preserve"> 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tabs defTabSz="708">
          <w:tab w:val="left" w:pos="7273" w:leader="none"/>
        </w:tabs>
        <w:rPr>
          <w:spacing w:val="-3" w:percent="97"/>
          <w:sz w:val="28"/>
          <w:szCs w:val="28"/>
        </w:rPr>
      </w:pPr>
      <w:r>
        <w:rPr>
          <w:sz w:val="28"/>
          <w:szCs w:val="28"/>
        </w:rPr>
        <w:t>1. Основные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  <w:r>
        <w:rPr>
          <w:spacing w:val="-3" w:percent="97"/>
          <w:sz w:val="28"/>
          <w:szCs w:val="28"/>
        </w:rPr>
      </w:r>
    </w:p>
    <w:tbl>
      <w:tblPr>
        <w:name w:val="Таблица3"/>
        <w:tabOrder w:val="0"/>
        <w:jc w:val="center"/>
        <w:tblInd w:w="0" w:type="dxa"/>
        <w:tblW w:w="14868" w:type="dxa"/>
        <w:pPr>
          <w:ind w:left="-108"/>
          <w:spacing/>
          <w:jc w:val="center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7878"/>
        <w:gridCol w:w="6990"/>
      </w:tblGrid>
      <w:tr>
        <w:trPr>
          <w:tblHeader w:val="0"/>
          <w:cantSplit w:val="0"/>
          <w:trHeight w:val="0" w:hRule="auto"/>
        </w:trPr>
        <w:tc>
          <w:tcPr>
            <w:tcW w:w="787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/>
            <w:r>
              <w:rPr>
                <w:spacing w:val="-2" w:percent="97"/>
                <w:sz w:val="20"/>
                <w:szCs w:val="20"/>
              </w:rPr>
              <w:t>Куратор (директор) муниципальной</w:t>
            </w:r>
            <w:r>
              <w:rPr>
                <w:spacing w:val="-5" w:percent="9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программы</w:t>
            </w:r>
            <w:r/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  <w:t>Заместитель главы Анжеро-Судженского городского округа (</w:t>
            </w:r>
            <w:r>
              <w:rPr>
                <w:sz w:val="20"/>
                <w:szCs w:val="20"/>
              </w:rPr>
              <w:t>по вопросам экономики, промышленности, потребительского рынка, связи)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/>
            <w:r>
              <w:rPr>
                <w:sz w:val="20"/>
                <w:szCs w:val="20"/>
              </w:rPr>
              <w:t>Ответственный исполнитель муниципальной программы</w:t>
            </w:r>
            <w:r/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Управление экономического развития, промышленности и предпринимательства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/>
            <w:r>
              <w:rPr>
                <w:sz w:val="20"/>
                <w:szCs w:val="20"/>
              </w:rPr>
              <w:t>Период</w:t>
            </w:r>
            <w:r>
              <w:rPr>
                <w:spacing w:val="-4" w:percent="9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реализации</w:t>
            </w:r>
            <w:r>
              <w:rPr>
                <w:spacing w:val="-2" w:percent="97"/>
                <w:sz w:val="20"/>
                <w:szCs w:val="20"/>
              </w:rPr>
              <w:t xml:space="preserve"> муниципальной </w:t>
            </w:r>
            <w:r>
              <w:rPr>
                <w:sz w:val="20"/>
                <w:szCs w:val="20"/>
              </w:rPr>
              <w:t>программы</w:t>
            </w:r>
            <w:r/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2026-2030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/>
            <w:r>
              <w:rPr>
                <w:sz w:val="20"/>
                <w:szCs w:val="20"/>
              </w:rPr>
              <w:t>Цели</w:t>
            </w:r>
            <w:r>
              <w:rPr>
                <w:spacing w:val="-5" w:percent="94"/>
                <w:sz w:val="20"/>
                <w:szCs w:val="20"/>
              </w:rPr>
              <w:t xml:space="preserve"> муниципальной</w:t>
            </w:r>
            <w:r>
              <w:rPr>
                <w:spacing w:val="-4" w:percent="9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программы </w:t>
            </w:r>
            <w:r/>
          </w:p>
        </w:tc>
        <w:tc>
          <w:tcPr>
            <w:tcW w:w="699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0"/>
              <w:hyphenationLines w:val="1"/>
              <w:rPr>
                <w:rFonts w:ascii="Times New Roman" w:hAnsi="Times New Roman" w:cs="Times New Roman"/>
                <w:lang w:eastAsia="zh-cn" w:bidi="ar-sa"/>
              </w:rPr>
            </w:pPr>
            <w:r>
              <w:rPr>
                <w:rFonts w:ascii="Times New Roman" w:hAnsi="Times New Roman" w:cs="Times New Roman"/>
                <w:lang w:eastAsia="zh-cn" w:bidi="ar-sa"/>
              </w:rPr>
              <w:t>Улучшение инвестиционного климата и увеличение численности занятых в сфере малого и среднего предпринимательства, включая индивидуальных предпринимателей и самозанятых, до 3,3 тыс человек к 2030 году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vMerge w:val="restart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/>
            <w:r>
              <w:rPr>
                <w:sz w:val="20"/>
                <w:szCs w:val="20"/>
                <w:lang w:bidi="ru-ru"/>
              </w:rPr>
              <w:t>Связь с национальными целями, государственными программами Кемеровской области - Кузбасса</w:t>
            </w:r>
            <w:r/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Национальная цель "Достойный, эффективный труд и успешное предпринимательство":</w:t>
            </w:r>
          </w:p>
          <w:p>
            <w:pPr>
              <w:pStyle w:val="para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самозанятых, до 25 млн человек.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78" w:type="dxa"/>
            <w:vMerge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699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 w:bidi="ar-sa"/>
              </w:rPr>
            </w:pPr>
            <w:r>
              <w:rPr>
                <w:sz w:val="20"/>
                <w:szCs w:val="20"/>
                <w:lang w:eastAsia="zh-cn" w:bidi="ru-ru"/>
              </w:rPr>
              <w:t xml:space="preserve"> </w:t>
            </w:r>
            <w:r>
              <w:rPr>
                <w:kern w:val="1"/>
                <w:sz w:val="20"/>
                <w:szCs w:val="20"/>
                <w:lang w:eastAsia="zh-cn" w:bidi="ar-sa"/>
              </w:rPr>
              <w:t xml:space="preserve">Государственной программы Кемеровской области - Кузбасса </w:t>
            </w:r>
            <w:r>
              <w:rPr>
                <w:sz w:val="20"/>
                <w:szCs w:val="20"/>
                <w:lang w:eastAsia="zh-cn" w:bidi="ar-sa"/>
              </w:rPr>
              <w:t>"Экономическое развитие и инновационная экономика Кузбасса"</w:t>
            </w:r>
          </w:p>
        </w:tc>
      </w:tr>
    </w:tbl>
    <w:p>
      <w:pPr>
        <w:spacing/>
        <w:jc w:val="center"/>
      </w:pPr>
      <w:r/>
    </w:p>
    <w:p>
      <w:pPr>
        <w:spacing/>
        <w:jc w:val="center"/>
      </w:pPr>
      <w:r/>
    </w:p>
    <w:p>
      <w:pPr>
        <w:spacing/>
        <w:jc w:val="center"/>
      </w:pPr>
      <w:r/>
    </w:p>
    <w:p>
      <w:pPr>
        <w:spacing/>
        <w:jc w:val="center"/>
      </w:pPr>
      <w:r/>
    </w:p>
    <w:p>
      <w:pPr>
        <w:spacing/>
        <w:jc w:val="center"/>
      </w:pPr>
      <w:r/>
    </w:p>
    <w:p>
      <w:pPr>
        <w:spacing/>
        <w:jc w:val="center"/>
      </w:pPr>
      <w:r/>
    </w:p>
    <w:p>
      <w:pPr>
        <w:spacing/>
        <w:jc w:val="center"/>
      </w:pPr>
      <w:r/>
    </w:p>
    <w:p>
      <w:pPr>
        <w:spacing/>
        <w:jc w:val="center"/>
      </w:pPr>
      <w:r/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2. Показатели  муниципальной программы</w:t>
      </w:r>
    </w:p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name w:val="Таблица4"/>
        <w:tabOrder w:val="0"/>
        <w:jc w:val="center"/>
        <w:tblInd w:w="0" w:type="dxa"/>
        <w:tblW w:w="14837" w:type="dxa"/>
        <w:pPr>
          <w:spacing/>
          <w:jc w:val="center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598"/>
        <w:gridCol w:w="1928"/>
        <w:gridCol w:w="1096"/>
        <w:gridCol w:w="1099"/>
        <w:gridCol w:w="928"/>
        <w:gridCol w:w="841"/>
        <w:gridCol w:w="525"/>
        <w:gridCol w:w="556"/>
        <w:gridCol w:w="532"/>
        <w:gridCol w:w="549"/>
        <w:gridCol w:w="525"/>
        <w:gridCol w:w="582"/>
        <w:gridCol w:w="1272"/>
        <w:gridCol w:w="1878"/>
        <w:gridCol w:w="1928"/>
      </w:tblGrid>
      <w:tr>
        <w:trPr>
          <w:tblHeader w:val="0"/>
          <w:cantSplit w:val="0"/>
          <w:trHeight w:val="440" w:hRule="atLeast"/>
        </w:trPr>
        <w:tc>
          <w:tcPr>
            <w:tcW w:w="59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№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/>
          </w:p>
        </w:tc>
        <w:tc>
          <w:tcPr>
            <w:tcW w:w="192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</w:t>
            </w:r>
            <w:r/>
          </w:p>
        </w:tc>
        <w:tc>
          <w:tcPr>
            <w:tcW w:w="1096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Уровень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</w:t>
            </w:r>
            <w:r/>
          </w:p>
        </w:tc>
        <w:tc>
          <w:tcPr>
            <w:tcW w:w="1099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Признак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возрастания/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убывания</w:t>
            </w:r>
            <w:r/>
          </w:p>
        </w:tc>
        <w:tc>
          <w:tcPr>
            <w:tcW w:w="92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Единица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измерения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 </w:t>
            </w:r>
            <w:r>
              <w:rPr>
                <w:spacing w:val="-1" w:percent="99"/>
                <w:sz w:val="20"/>
                <w:szCs w:val="20"/>
                <w:lang w:eastAsia="zh-cn"/>
              </w:rPr>
              <w:t>(по</w:t>
            </w:r>
            <w:r>
              <w:rPr>
                <w:spacing w:val="-9" w:percent="8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ОКЕИ)</w:t>
            </w:r>
            <w:r/>
          </w:p>
        </w:tc>
        <w:tc>
          <w:tcPr>
            <w:tcW w:w="1366" w:type="dxa"/>
            <w:gridSpan w:val="2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Базовое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значение</w:t>
            </w:r>
            <w:r/>
          </w:p>
        </w:tc>
        <w:tc>
          <w:tcPr>
            <w:tcW w:w="2744" w:type="dxa"/>
            <w:gridSpan w:val="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/>
          </w:p>
        </w:tc>
        <w:tc>
          <w:tcPr>
            <w:tcW w:w="1272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Документ</w:t>
            </w:r>
            <w:r/>
          </w:p>
        </w:tc>
        <w:tc>
          <w:tcPr>
            <w:tcW w:w="187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Ответственный за достижение показателя (участник программы)</w:t>
            </w:r>
            <w:r/>
          </w:p>
        </w:tc>
        <w:tc>
          <w:tcPr>
            <w:tcW w:w="192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Связь с показателями национальных целей</w:t>
            </w:r>
            <w:r/>
          </w:p>
        </w:tc>
      </w:tr>
      <w:tr>
        <w:trPr>
          <w:tblHeader w:val="0"/>
          <w:cantSplit w:val="0"/>
          <w:trHeight w:val="590" w:hRule="atLeast"/>
        </w:trPr>
        <w:tc>
          <w:tcPr>
            <w:tcW w:w="59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92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096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099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92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84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/>
          </w:p>
        </w:tc>
        <w:tc>
          <w:tcPr>
            <w:tcW w:w="52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год</w:t>
            </w:r>
            <w:r/>
          </w:p>
        </w:tc>
        <w:tc>
          <w:tcPr>
            <w:tcW w:w="55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position w:val="-3"/>
                <w:lang w:eastAsia="zh-cn"/>
              </w:rPr>
            </w:pPr>
            <w:r>
              <w:rPr>
                <w:sz w:val="20"/>
                <w:szCs w:val="20"/>
                <w:position w:val="-3"/>
                <w:lang w:eastAsia="zh-cn"/>
              </w:rPr>
              <w:t>2026</w:t>
            </w:r>
          </w:p>
        </w:tc>
        <w:tc>
          <w:tcPr>
            <w:tcW w:w="53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54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52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58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272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87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92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</w:tr>
      <w:tr>
        <w:trPr>
          <w:tblHeader w:val="0"/>
          <w:cantSplit w:val="0"/>
          <w:trHeight w:val="295" w:hRule="atLeast"/>
        </w:trPr>
        <w:tc>
          <w:tcPr>
            <w:tcW w:w="59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239" w:type="dxa"/>
            <w:gridSpan w:val="14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0"/>
              <w:hyphenationLines w:val="1"/>
              <w:rPr>
                <w:rFonts w:ascii="Times New Roman" w:hAnsi="Times New Roman" w:cs="Times New Roman"/>
                <w:lang w:eastAsia="zh-cn" w:bidi="ar-sa"/>
              </w:rPr>
            </w:pPr>
            <w:r>
              <w:rPr>
                <w:rFonts w:ascii="Times New Roman" w:hAnsi="Times New Roman" w:cs="Times New Roman"/>
                <w:lang w:eastAsia="zh-cn" w:bidi="ar-sa"/>
              </w:rPr>
              <w:t>Улучшение инвестиционного климата и увеличение численности занятых в сфере малого и среднего предпринимательства, включая индивидуальных предпринимателей и самозанятых, до 3,9 тыс человек к 2030 году</w:t>
            </w:r>
          </w:p>
        </w:tc>
      </w:tr>
      <w:tr>
        <w:trPr>
          <w:tblHeader w:val="0"/>
          <w:cantSplit w:val="0"/>
          <w:trHeight w:val="370" w:hRule="atLeast"/>
        </w:trPr>
        <w:tc>
          <w:tcPr>
            <w:tcW w:w="59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1.1.</w:t>
            </w:r>
          </w:p>
        </w:tc>
        <w:tc>
          <w:tcPr>
            <w:tcW w:w="192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09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МП, ОМСУ</w:t>
            </w:r>
          </w:p>
        </w:tc>
        <w:tc>
          <w:tcPr>
            <w:tcW w:w="10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Возрастание </w:t>
            </w:r>
          </w:p>
        </w:tc>
        <w:tc>
          <w:tcPr>
            <w:tcW w:w="92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Тысяч человек</w:t>
            </w:r>
          </w:p>
        </w:tc>
        <w:tc>
          <w:tcPr>
            <w:tcW w:w="84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52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5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5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54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3,7</w:t>
            </w:r>
          </w:p>
        </w:tc>
        <w:tc>
          <w:tcPr>
            <w:tcW w:w="52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3,8</w:t>
            </w:r>
          </w:p>
        </w:tc>
        <w:tc>
          <w:tcPr>
            <w:tcW w:w="58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3,9</w:t>
            </w:r>
          </w:p>
        </w:tc>
        <w:tc>
          <w:tcPr>
            <w:tcW w:w="127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Указ Президента Российской Федерации от 04.02.2021 N 68</w:t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  <w:tc>
          <w:tcPr>
            <w:tcW w:w="192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самозанятых, до 25 млн человек</w:t>
            </w:r>
          </w:p>
        </w:tc>
      </w:tr>
    </w:tbl>
    <w:p>
      <w:pPr>
        <w:ind w:hanging="283"/>
        <w:spacing/>
        <w:jc w:val="center"/>
        <w:tabs defTabSz="708">
          <w:tab w:val="left" w:pos="5670" w:leader="none"/>
        </w:tabs>
      </w:pPr>
      <w:r/>
    </w:p>
    <w:p>
      <w:pPr>
        <w:ind w:hanging="283"/>
        <w:spacing/>
        <w:jc w:val="center"/>
        <w:tabs defTabSz="708">
          <w:tab w:val="left" w:pos="5670" w:leader="none"/>
        </w:tabs>
        <w:rPr>
          <w:sz w:val="28"/>
          <w:szCs w:val="28"/>
        </w:rPr>
      </w:pPr>
      <w:r>
        <w:rPr>
          <w:sz w:val="28"/>
          <w:szCs w:val="28"/>
        </w:rPr>
        <w:t>3. Помесячный план достижения показателей муниципального проекта в 2026 году</w:t>
      </w:r>
    </w:p>
    <w:p>
      <w:pPr>
        <w:spacing/>
        <w:jc w:val="both"/>
      </w:pPr>
      <w:r/>
    </w:p>
    <w:tbl>
      <w:tblPr>
        <w:name w:val="Таблица5"/>
        <w:tabOrder w:val="0"/>
        <w:jc w:val="left"/>
        <w:tblInd w:w="10" w:type="dxa"/>
        <w:tblW w:w="14566" w:type="dxa"/>
        <w:pPr>
          <w:ind w:left="10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718"/>
        <w:gridCol w:w="2915"/>
        <w:gridCol w:w="1210"/>
        <w:gridCol w:w="1211"/>
        <w:gridCol w:w="807"/>
        <w:gridCol w:w="806"/>
        <w:gridCol w:w="538"/>
        <w:gridCol w:w="673"/>
        <w:gridCol w:w="538"/>
        <w:gridCol w:w="538"/>
        <w:gridCol w:w="538"/>
        <w:gridCol w:w="678"/>
        <w:gridCol w:w="856"/>
        <w:gridCol w:w="780"/>
        <w:gridCol w:w="647"/>
        <w:gridCol w:w="1113"/>
      </w:tblGrid>
      <w:tr>
        <w:trPr>
          <w:tblHeader w:val="0"/>
          <w:cantSplit w:val="0"/>
          <w:trHeight w:val="334" w:hRule="atLeast"/>
        </w:trPr>
        <w:tc>
          <w:tcPr>
            <w:tcW w:w="71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№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/>
          </w:p>
        </w:tc>
        <w:tc>
          <w:tcPr>
            <w:tcW w:w="2915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Показатели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1210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Уровень показателя</w:t>
            </w:r>
            <w:r/>
          </w:p>
        </w:tc>
        <w:tc>
          <w:tcPr>
            <w:tcW w:w="1211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Единица измерения                      (по ОКЕИ)</w:t>
            </w:r>
            <w:r/>
          </w:p>
        </w:tc>
        <w:tc>
          <w:tcPr>
            <w:tcW w:w="7399" w:type="dxa"/>
            <w:gridSpan w:val="11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Плановые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значения по</w:t>
            </w:r>
            <w:r>
              <w:rPr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месяцам</w:t>
            </w:r>
            <w:r/>
          </w:p>
        </w:tc>
        <w:tc>
          <w:tcPr>
            <w:tcW w:w="1113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На конец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 xml:space="preserve">(указывается год) </w:t>
            </w:r>
            <w:r>
              <w:rPr>
                <w:sz w:val="20"/>
                <w:szCs w:val="20"/>
                <w:lang w:eastAsia="zh-cn"/>
              </w:rPr>
              <w:t>года</w:t>
            </w:r>
            <w:r/>
          </w:p>
        </w:tc>
      </w:tr>
      <w:tr>
        <w:trPr>
          <w:tblHeader w:val="0"/>
          <w:cantSplit w:val="0"/>
          <w:trHeight w:val="616" w:hRule="atLeast"/>
        </w:trPr>
        <w:tc>
          <w:tcPr>
            <w:tcW w:w="71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2915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210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211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807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январь</w:t>
            </w:r>
            <w:r/>
          </w:p>
        </w:tc>
        <w:tc>
          <w:tcPr>
            <w:tcW w:w="8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февраль</w:t>
            </w:r>
            <w:r/>
          </w:p>
        </w:tc>
        <w:tc>
          <w:tcPr>
            <w:tcW w:w="5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март</w:t>
            </w:r>
            <w:r/>
          </w:p>
        </w:tc>
        <w:tc>
          <w:tcPr>
            <w:tcW w:w="673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апрель</w:t>
            </w:r>
            <w:r/>
          </w:p>
        </w:tc>
        <w:tc>
          <w:tcPr>
            <w:tcW w:w="5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май</w:t>
            </w:r>
            <w:r/>
          </w:p>
        </w:tc>
        <w:tc>
          <w:tcPr>
            <w:tcW w:w="5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июнь</w:t>
            </w:r>
            <w:r/>
          </w:p>
        </w:tc>
        <w:tc>
          <w:tcPr>
            <w:tcW w:w="5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июль</w:t>
            </w:r>
            <w:r/>
          </w:p>
        </w:tc>
        <w:tc>
          <w:tcPr>
            <w:tcW w:w="67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август</w:t>
            </w:r>
            <w:r/>
          </w:p>
        </w:tc>
        <w:tc>
          <w:tcPr>
            <w:tcW w:w="85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сентябрь</w:t>
            </w:r>
            <w:r/>
          </w:p>
        </w:tc>
        <w:tc>
          <w:tcPr>
            <w:tcW w:w="78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октябрь</w:t>
            </w:r>
            <w:r/>
          </w:p>
        </w:tc>
        <w:tc>
          <w:tcPr>
            <w:tcW w:w="647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ноябрь</w:t>
            </w:r>
            <w:r/>
          </w:p>
        </w:tc>
        <w:tc>
          <w:tcPr>
            <w:tcW w:w="1113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</w:tr>
      <w:tr>
        <w:trPr>
          <w:tblHeader w:val="0"/>
          <w:cantSplit w:val="0"/>
          <w:trHeight w:val="373" w:hRule="atLeast"/>
        </w:trPr>
        <w:tc>
          <w:tcPr>
            <w:tcW w:w="71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right"/>
              <w:widowControl w:val="0"/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t>.</w:t>
            </w:r>
          </w:p>
        </w:tc>
        <w:tc>
          <w:tcPr>
            <w:tcW w:w="13848" w:type="dxa"/>
            <w:gridSpan w:val="15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lang w:eastAsia="zh-cn"/>
              </w:rPr>
            </w:pPr>
            <w:r>
              <w:rPr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самозанятых, до 3,9 тысяч человек.</w:t>
            </w:r>
            <w:r>
              <w:rPr>
                <w:lang w:eastAsia="zh-cn"/>
              </w:rPr>
            </w:r>
          </w:p>
          <w:p>
            <w:pPr>
              <w:widowControl w:val="0"/>
            </w:pPr>
            <w:r/>
          </w:p>
        </w:tc>
      </w:tr>
      <w:tr>
        <w:trPr>
          <w:tblHeader w:val="0"/>
          <w:cantSplit w:val="0"/>
          <w:trHeight w:val="373" w:hRule="atLeast"/>
        </w:trPr>
        <w:tc>
          <w:tcPr>
            <w:tcW w:w="71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right"/>
              <w:widowControl w:val="0"/>
            </w:pPr>
            <w:r>
              <w:rPr>
                <w:sz w:val="20"/>
                <w:szCs w:val="20"/>
                <w:lang w:eastAsia="zh-cn"/>
              </w:rPr>
              <w:t>1.1</w:t>
            </w:r>
            <w:r/>
          </w:p>
        </w:tc>
        <w:tc>
          <w:tcPr>
            <w:tcW w:w="2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2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МП, ОМСУ</w:t>
            </w:r>
          </w:p>
        </w:tc>
        <w:tc>
          <w:tcPr>
            <w:tcW w:w="12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Тысяч человек</w:t>
            </w:r>
          </w:p>
        </w:tc>
        <w:tc>
          <w:tcPr>
            <w:tcW w:w="80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80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67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5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6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8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7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64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111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3,5</w:t>
            </w:r>
          </w:p>
        </w:tc>
      </w:tr>
    </w:tbl>
    <w:p>
      <w:pPr>
        <w:spacing/>
        <w:jc w:val="both"/>
      </w:pPr>
      <w:r/>
    </w:p>
    <w:p>
      <w:pPr>
        <w:spacing/>
        <w:jc w:val="center"/>
        <w:tabs defTabSz="708">
          <w:tab w:val="left" w:pos="4695" w:leader="none"/>
        </w:tabs>
      </w:pPr>
      <w:r/>
    </w:p>
    <w:p>
      <w:pPr>
        <w:spacing/>
        <w:jc w:val="center"/>
        <w:tabs defTabSz="708">
          <w:tab w:val="left" w:pos="4695" w:leader="none"/>
        </w:tabs>
      </w:pPr>
      <w:r/>
    </w:p>
    <w:p>
      <w:pPr>
        <w:spacing/>
        <w:jc w:val="center"/>
        <w:tabs defTabSz="708">
          <w:tab w:val="left" w:pos="4695" w:leader="none"/>
        </w:tabs>
      </w:pPr>
      <w:r/>
    </w:p>
    <w:p>
      <w:pPr>
        <w:spacing/>
        <w:jc w:val="center"/>
        <w:tabs defTabSz="708">
          <w:tab w:val="left" w:pos="4695" w:leader="none"/>
        </w:tabs>
      </w:pPr>
      <w:r/>
    </w:p>
    <w:p>
      <w:pPr>
        <w:spacing/>
        <w:jc w:val="center"/>
        <w:tabs defTabSz="708">
          <w:tab w:val="left" w:pos="4695" w:leader="none"/>
        </w:tabs>
      </w:pPr>
      <w:r/>
    </w:p>
    <w:p>
      <w:pPr>
        <w:spacing/>
        <w:jc w:val="center"/>
        <w:tabs defTabSz="708">
          <w:tab w:val="left" w:pos="4695" w:leader="none"/>
        </w:tabs>
      </w:pPr>
      <w:r/>
    </w:p>
    <w:p>
      <w:pPr>
        <w:spacing/>
        <w:jc w:val="center"/>
        <w:tabs defTabSz="708">
          <w:tab w:val="left" w:pos="4695" w:leader="none"/>
        </w:tabs>
        <w:rPr>
          <w:sz w:val="28"/>
          <w:szCs w:val="28"/>
        </w:rPr>
      </w:pPr>
      <w:r>
        <w:rPr>
          <w:sz w:val="28"/>
          <w:szCs w:val="28"/>
          <w:lang w:bidi="ru-ru"/>
        </w:rPr>
        <w:t>4</w:t>
      </w:r>
      <w:r>
        <w:rPr>
          <w:sz w:val="28"/>
          <w:szCs w:val="28"/>
        </w:rPr>
        <w:t>. Структура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3" w:percent="97"/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</w:p>
    <w:p>
      <w:pPr>
        <w:spacing/>
        <w:jc w:val="center"/>
        <w:tabs defTabSz="708">
          <w:tab w:val="left" w:pos="4695" w:leader="none"/>
        </w:tabs>
        <w:rPr>
          <w:lang w:eastAsia="zh-cn"/>
        </w:rPr>
      </w:pPr>
      <w:r>
        <w:rPr>
          <w:lang w:eastAsia="zh-cn"/>
        </w:rPr>
      </w:r>
    </w:p>
    <w:tbl>
      <w:tblPr>
        <w:name w:val="Таблица6"/>
        <w:tabOrder w:val="0"/>
        <w:jc w:val="left"/>
        <w:tblInd w:w="10" w:type="dxa"/>
        <w:tblW w:w="14567" w:type="dxa"/>
        <w:pPr>
          <w:ind w:left="10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709"/>
        <w:gridCol w:w="7269"/>
        <w:gridCol w:w="31"/>
        <w:gridCol w:w="2994"/>
        <w:gridCol w:w="3564"/>
      </w:tblGrid>
      <w:tr>
        <w:trPr>
          <w:tblHeader w:val="0"/>
          <w:cantSplit w:val="0"/>
          <w:trHeight w:val="491" w:hRule="atLeast"/>
        </w:trPr>
        <w:tc>
          <w:tcPr>
            <w:tcW w:w="70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pacing w:val="-1" w:percent="99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№</w:t>
            </w:r>
            <w:r>
              <w:rPr>
                <w:spacing w:val="-1" w:percent="99"/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widowControl w:val="0"/>
            </w:pP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/>
          </w:p>
        </w:tc>
        <w:tc>
          <w:tcPr>
            <w:tcW w:w="726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Задачи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структурного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элемента</w:t>
            </w:r>
            <w:r/>
          </w:p>
        </w:tc>
        <w:tc>
          <w:tcPr>
            <w:tcW w:w="3025" w:type="dxa"/>
            <w:gridSpan w:val="2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Краткое описание ожидаемых эффектов от реализации задачи структурного</w:t>
            </w:r>
            <w:r>
              <w:rPr>
                <w:spacing w:val="-6" w:percent="92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элемента</w:t>
            </w:r>
            <w:r/>
          </w:p>
        </w:tc>
        <w:tc>
          <w:tcPr>
            <w:tcW w:w="356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Связь</w:t>
            </w:r>
          </w:p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с показателями</w:t>
            </w:r>
            <w:r/>
          </w:p>
        </w:tc>
      </w:tr>
      <w:tr>
        <w:trPr>
          <w:tblHeader w:val="0"/>
          <w:cantSplit w:val="0"/>
          <w:trHeight w:val="344" w:hRule="atLeast"/>
        </w:trPr>
        <w:tc>
          <w:tcPr>
            <w:tcW w:w="70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3858" w:type="dxa"/>
            <w:gridSpan w:val="4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Комплекс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процессных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мероприятий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</w:rPr>
              <w:t>Формирования благоприятных экономических, правовых и организационных условий для развития малого и среднего предпринимательства на территории Анжеро-Судженского городского округа</w:t>
            </w:r>
            <w:r>
              <w:rPr>
                <w:sz w:val="20"/>
                <w:szCs w:val="20"/>
                <w:lang w:eastAsia="zh-cn"/>
              </w:rPr>
              <w:t>»</w:t>
            </w:r>
            <w:r/>
          </w:p>
        </w:tc>
      </w:tr>
      <w:tr>
        <w:trPr>
          <w:tblHeader w:val="0"/>
          <w:cantSplit w:val="0"/>
          <w:trHeight w:val="370" w:hRule="atLeast"/>
        </w:trPr>
        <w:tc>
          <w:tcPr>
            <w:tcW w:w="70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300" w:type="dxa"/>
            <w:gridSpan w:val="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</w:pPr>
            <w:r>
              <w:rPr>
                <w:color w:val="000000"/>
                <w:sz w:val="20"/>
                <w:szCs w:val="20"/>
                <w:shd w:val="clear" w:fill="ffffff"/>
                <w:lang w:eastAsia="zh-cn" w:bidi="ru-ru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  <w:tc>
          <w:tcPr>
            <w:tcW w:w="6558" w:type="dxa"/>
            <w:gridSpan w:val="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2026-2030</w:t>
            </w:r>
          </w:p>
        </w:tc>
      </w:tr>
      <w:tr>
        <w:trPr>
          <w:tblHeader w:val="0"/>
          <w:cantSplit w:val="0"/>
          <w:trHeight w:val="344" w:hRule="atLeast"/>
        </w:trPr>
        <w:tc>
          <w:tcPr>
            <w:tcW w:w="70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1.1.</w:t>
            </w:r>
          </w:p>
        </w:tc>
        <w:tc>
          <w:tcPr>
            <w:tcW w:w="7300" w:type="dxa"/>
            <w:gridSpan w:val="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Сформирован позитивный образ предпринимательства как важного фактора социально-экономического развития городского округа</w:t>
            </w:r>
          </w:p>
        </w:tc>
        <w:tc>
          <w:tcPr>
            <w:tcW w:w="29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предпринимательства, включая индивидуальных предпринимателей, зарегистрированных на территории Анжеро-Судженского городского округа, составило не менее 1 тысячи единиц к 2030 году</w:t>
            </w:r>
          </w:p>
        </w:tc>
        <w:tc>
          <w:tcPr>
            <w:tcW w:w="356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>
        <w:trPr>
          <w:tblHeader w:val="0"/>
          <w:cantSplit w:val="0"/>
          <w:trHeight w:val="342" w:hRule="atLeast"/>
        </w:trPr>
        <w:tc>
          <w:tcPr>
            <w:tcW w:w="70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1.2.</w:t>
            </w:r>
          </w:p>
        </w:tc>
        <w:tc>
          <w:tcPr>
            <w:tcW w:w="7300" w:type="dxa"/>
            <w:gridSpan w:val="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Созданы благоприятные условия для осуществления деятельности самозанятыми гражданами посредством применения нового режима налогообложения и предоставления мер поддержки</w:t>
            </w:r>
          </w:p>
        </w:tc>
        <w:tc>
          <w:tcPr>
            <w:tcW w:w="29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2030 году в Анжеро-Судженском городском округе не менее 2,5 тыс. граждан являются самозанятыми и подтвердили статус плательщика налога "Налог на профессиональный доход"</w:t>
            </w:r>
          </w:p>
        </w:tc>
        <w:tc>
          <w:tcPr>
            <w:tcW w:w="356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>
        <w:trPr>
          <w:tblHeader w:val="0"/>
          <w:cantSplit w:val="0"/>
          <w:trHeight w:val="342" w:hRule="atLeast"/>
        </w:trPr>
        <w:tc>
          <w:tcPr>
            <w:tcW w:w="70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1.3. </w:t>
            </w:r>
          </w:p>
        </w:tc>
        <w:tc>
          <w:tcPr>
            <w:tcW w:w="7300" w:type="dxa"/>
            <w:gridSpan w:val="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firstLine="1"/>
              <w:spacing/>
              <w:jc w:val="both"/>
              <w:tabs defTabSz="708">
                <w:tab w:val="left" w:pos="1660" w:leader="none"/>
                <w:tab w:val="left" w:pos="810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Созданы благоприятные условия для стимулирования инвестиционной деятельности</w:t>
            </w:r>
          </w:p>
        </w:tc>
        <w:tc>
          <w:tcPr>
            <w:tcW w:w="29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Liberation Serif;Times New Roma" w:hAnsi="Liberation Serif;Times New Roma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 2030 году на территории Анжеро-Судженского городского округа действует не менее 5 инвесторов, включая резидентов ТОР и </w:t>
            </w:r>
            <w:r>
              <w:rPr>
                <w:rFonts w:ascii="Liberation Serif;Times New Roma" w:hAnsi="Liberation Serif;Times New Roma" w:cs="Times New Roman"/>
                <w:color w:val="000000"/>
                <w:lang w:eastAsia="ru-ru"/>
              </w:rPr>
              <w:t>российских организаций, осуществляющих деятельность в области информационных технологий</w:t>
            </w:r>
            <w:r>
              <w:rPr>
                <w:rFonts w:ascii="Liberation Serif;Times New Roma" w:hAnsi="Liberation Serif;Times New Roma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56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</w:tbl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5. Финансовое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обеспечение</w:t>
      </w:r>
      <w:r>
        <w:rPr>
          <w:spacing w:val="-1" w:percent="99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</w:p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name w:val="Таблица7"/>
        <w:tabOrder w:val="0"/>
        <w:jc w:val="left"/>
        <w:tblInd w:w="10" w:type="dxa"/>
        <w:tblW w:w="14704" w:type="dxa"/>
        <w:pPr>
          <w:ind w:left="10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5732"/>
        <w:gridCol w:w="1514"/>
        <w:gridCol w:w="1451"/>
        <w:gridCol w:w="1391"/>
        <w:gridCol w:w="1453"/>
        <w:gridCol w:w="1405"/>
        <w:gridCol w:w="1758"/>
      </w:tblGrid>
      <w:tr>
        <w:trPr>
          <w:tblHeader w:val="0"/>
          <w:cantSplit w:val="0"/>
          <w:trHeight w:val="332" w:hRule="atLeast"/>
        </w:trPr>
        <w:tc>
          <w:tcPr>
            <w:tcW w:w="5732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tabs defTabSz="708">
                <w:tab w:val="left" w:pos="6673" w:leader="none"/>
              </w:tabs>
            </w:pPr>
            <w:r>
              <w:rPr>
                <w:sz w:val="20"/>
                <w:szCs w:val="20"/>
                <w:lang w:eastAsia="zh-cn"/>
              </w:rPr>
              <w:t xml:space="preserve">Наименование муниципальной программы, структурного элемента / источник финансового </w:t>
            </w:r>
            <w:r>
              <w:rPr>
                <w:spacing w:val="-38" w:percent="52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обеспечения</w:t>
            </w:r>
            <w:r/>
          </w:p>
        </w:tc>
        <w:tc>
          <w:tcPr>
            <w:tcW w:w="8972" w:type="dxa"/>
            <w:gridSpan w:val="6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tabs defTabSz="708">
                <w:tab w:val="left" w:pos="6435" w:leader="none"/>
              </w:tabs>
            </w:pPr>
            <w:r>
              <w:rPr>
                <w:sz w:val="20"/>
                <w:szCs w:val="20"/>
                <w:lang w:eastAsia="zh-cn"/>
              </w:rPr>
              <w:t>Объем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финансового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обеспечения</w:t>
            </w:r>
            <w:r>
              <w:rPr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реализации,</w:t>
            </w:r>
            <w:r>
              <w:rPr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тыс.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рублей</w:t>
            </w:r>
            <w:r/>
          </w:p>
        </w:tc>
      </w:tr>
      <w:tr>
        <w:trPr>
          <w:tblHeader w:val="0"/>
          <w:cantSplit w:val="0"/>
          <w:trHeight w:val="337" w:hRule="atLeast"/>
        </w:trPr>
        <w:tc>
          <w:tcPr>
            <w:tcW w:w="5732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51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5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t>2027</w:t>
            </w:r>
          </w:p>
        </w:tc>
        <w:tc>
          <w:tcPr>
            <w:tcW w:w="139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t>2028</w:t>
            </w:r>
          </w:p>
        </w:tc>
        <w:tc>
          <w:tcPr>
            <w:tcW w:w="1453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t>2029</w:t>
            </w:r>
          </w:p>
        </w:tc>
        <w:tc>
          <w:tcPr>
            <w:tcW w:w="140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t>2030</w:t>
            </w:r>
          </w:p>
        </w:tc>
        <w:tc>
          <w:tcPr>
            <w:tcW w:w="17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Всего</w:t>
            </w:r>
            <w:r/>
          </w:p>
        </w:tc>
      </w:tr>
      <w:tr>
        <w:trPr>
          <w:tblHeader w:val="0"/>
          <w:cantSplit w:val="0"/>
          <w:trHeight w:val="349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Муниципальная</w:t>
            </w:r>
            <w:r>
              <w:rPr>
                <w:iCs/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программа</w:t>
            </w:r>
            <w:r>
              <w:rPr>
                <w:iCs/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(всего),</w:t>
            </w:r>
            <w:r>
              <w:rPr>
                <w:iCs/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421.5</w:t>
            </w:r>
          </w:p>
        </w:tc>
      </w:tr>
      <w:tr>
        <w:trPr>
          <w:tblHeader w:val="0"/>
          <w:cantSplit w:val="0"/>
          <w:trHeight w:val="211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>Федеральный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314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blHeader w:val="0"/>
          <w:cantSplit w:val="0"/>
          <w:trHeight w:val="468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84.3</w:t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84.3</w:t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84.3</w:t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84.3</w:t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84.3</w:t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421.5</w:t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90" w:hRule="atLeast"/>
        </w:trPr>
        <w:tc>
          <w:tcPr>
            <w:tcW w:w="57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</w:r>
            <w:bookmarkStart w:id="10" w:name="__DdeLink__11175_991871113"/>
            <w:r>
              <w:rPr>
                <w:sz w:val="20"/>
                <w:szCs w:val="20"/>
                <w:lang w:eastAsia="zh-cn"/>
              </w:rPr>
              <w:t>Объем налоговых расходов субъекта Российской Федерации (справочно)</w:t>
            </w:r>
            <w:r/>
            <w:bookmarkEnd w:id="10"/>
            <w:r/>
          </w:p>
        </w:tc>
        <w:tc>
          <w:tcPr>
            <w:tcW w:w="151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noProof w:val="1"/>
                <w:lang w:eastAsia="zh-cn"/>
              </w:rPr>
            </w:pPr>
            <w:r>
              <w:rPr>
                <w:sz w:val="20"/>
                <w:szCs w:val="20"/>
                <w:vertAlign w:val="superscript"/>
                <w:noProof w:val="1"/>
                <w:lang w:eastAsia="zh-cn"/>
              </w:rPr>
            </w:r>
          </w:p>
        </w:tc>
        <w:tc>
          <w:tcPr>
            <w:tcW w:w="14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noProof w:val="1"/>
                <w:lang w:eastAsia="zh-cn"/>
              </w:rPr>
            </w:pPr>
            <w:r>
              <w:rPr>
                <w:sz w:val="20"/>
                <w:szCs w:val="20"/>
                <w:vertAlign w:val="superscript"/>
                <w:noProof w:val="1"/>
                <w:lang w:eastAsia="zh-cn"/>
              </w:rPr>
            </w:r>
          </w:p>
        </w:tc>
        <w:tc>
          <w:tcPr>
            <w:tcW w:w="139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noProof w:val="1"/>
                <w:lang w:eastAsia="zh-cn"/>
              </w:rPr>
            </w:pPr>
            <w:r>
              <w:rPr>
                <w:sz w:val="20"/>
                <w:szCs w:val="20"/>
                <w:vertAlign w:val="superscript"/>
                <w:noProof w:val="1"/>
                <w:lang w:eastAsia="zh-cn"/>
              </w:rPr>
            </w:r>
          </w:p>
        </w:tc>
        <w:tc>
          <w:tcPr>
            <w:tcW w:w="145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noProof w:val="1"/>
                <w:lang w:eastAsia="zh-cn"/>
              </w:rPr>
            </w:pPr>
            <w:r>
              <w:rPr>
                <w:sz w:val="20"/>
                <w:szCs w:val="20"/>
                <w:vertAlign w:val="superscript"/>
                <w:noProof w:val="1"/>
                <w:lang w:eastAsia="zh-cn"/>
              </w:rPr>
            </w:r>
          </w:p>
        </w:tc>
        <w:tc>
          <w:tcPr>
            <w:tcW w:w="140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noProof w:val="1"/>
                <w:lang w:eastAsia="zh-cn"/>
              </w:rPr>
            </w:pPr>
            <w:r>
              <w:rPr>
                <w:sz w:val="20"/>
                <w:szCs w:val="20"/>
                <w:vertAlign w:val="superscript"/>
                <w:noProof w:val="1"/>
                <w:lang w:eastAsia="zh-cn"/>
              </w:rPr>
            </w:r>
          </w:p>
        </w:tc>
        <w:tc>
          <w:tcPr>
            <w:tcW w:w="17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noProof w:val="1"/>
                <w:lang w:eastAsia="zh-cn"/>
              </w:rPr>
            </w:pPr>
            <w:r>
              <w:rPr>
                <w:sz w:val="20"/>
                <w:szCs w:val="20"/>
                <w:vertAlign w:val="superscript"/>
                <w:noProof w:val="1"/>
                <w:lang w:eastAsia="zh-cn"/>
              </w:rPr>
            </w:r>
          </w:p>
        </w:tc>
      </w:tr>
    </w:tbl>
    <w:p>
      <w:r/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4"/>
          <w:type w:val="nextPage"/>
          <w:pgSz w:h="11906" w:w="16838" w:orient="landscape"/>
          <w:pgMar w:left="1701" w:top="1134" w:right="850" w:bottom="1134" w:header="340" w:footer="0"/>
          <w:paperSrc w:first="0" w:other="0" a="0" b="0"/>
          <w:pgNumType w:fmt="decimal"/>
          <w:titlePg/>
          <w:tmGutter w:val="5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4"/>
        <w:ind w:firstLine="0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</w:p>
    <w:p>
      <w:pPr>
        <w:pStyle w:val="para14"/>
        <w:ind w:firstLine="0"/>
        <w: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3</w:t>
      </w:r>
    </w:p>
    <w:p>
      <w:pPr>
        <w:pStyle w:val="para14"/>
        <w: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муниципальной программе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и поддержка </w:t>
      </w:r>
    </w:p>
    <w:p>
      <w:pPr>
        <w:pStyle w:val="para14"/>
        <w: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субъектов малого и среднего предпринимательства </w:t>
      </w:r>
    </w:p>
    <w:p>
      <w:pPr>
        <w:pStyle w:val="para14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Анжеро-Судженского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</w:rPr>
      </w:r>
    </w:p>
    <w:p>
      <w:pPr>
        <w:pStyle w:val="para23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утвержденной постановлением администрации </w:t>
      </w:r>
      <w:r/>
    </w:p>
    <w:p>
      <w:pPr>
        <w:pStyle w:val="para23"/>
        <w:ind w:left="4253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Анжеро-Судженского городского округа </w:t>
      </w:r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color w:val="000000"/>
        </w:rPr>
        <w:t xml:space="preserve">      от _________________   № ________ 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комплекса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процессных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p>
      <w:pPr>
        <w:spacing/>
        <w:jc w:val="center"/>
        <w:rPr>
          <w:sz w:val="22"/>
          <w:szCs w:val="22"/>
        </w:rPr>
      </w:pPr>
      <w:r>
        <w:rPr>
          <w:sz w:val="28"/>
          <w:szCs w:val="28"/>
        </w:rPr>
        <w:t>«Формирования благоприятных экономических, правовых и организационных условий для развития малого и среднего предпринимательства на территории Анжеро-Судженского городского округа»</w:t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/>
        <w:contextualSpacing/>
        <w:jc w:val="center"/>
        <w:tabs defTabSz="708"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>
      <w:pPr>
        <w:spacing/>
        <w:contextualSpacing/>
        <w:jc w:val="center"/>
        <w:tabs defTabSz="708">
          <w:tab w:val="left" w:pos="0" w:leader="none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name w:val="Таблица8"/>
        <w:tabOrder w:val="0"/>
        <w:jc w:val="center"/>
        <w:tblInd w:w="0" w:type="dxa"/>
        <w:tblW w:w="15123" w:type="dxa"/>
        <w:pPr>
          <w:spacing/>
          <w:jc w:val="center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7424"/>
        <w:gridCol w:w="7699"/>
      </w:tblGrid>
      <w:tr>
        <w:trPr>
          <w:tblHeader w:val="0"/>
          <w:cantSplit w:val="0"/>
          <w:trHeight w:val="494" w:hRule="atLeast"/>
        </w:trPr>
        <w:tc>
          <w:tcPr>
            <w:tcW w:w="742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Ответственный</w:t>
            </w:r>
            <w:r>
              <w:rPr>
                <w:spacing w:val="14" w:percent="118"/>
                <w:sz w:val="20"/>
                <w:szCs w:val="20"/>
                <w:lang w:eastAsia="zh-cn"/>
              </w:rPr>
              <w:t xml:space="preserve"> исполнитель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(соисполнитель муниципальной программы)</w:t>
            </w:r>
            <w:r/>
          </w:p>
        </w:tc>
        <w:tc>
          <w:tcPr>
            <w:tcW w:w="769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</w:tr>
      <w:tr>
        <w:trPr>
          <w:tblHeader w:val="0"/>
          <w:cantSplit w:val="0"/>
          <w:trHeight w:val="292" w:hRule="atLeast"/>
        </w:trPr>
        <w:tc>
          <w:tcPr>
            <w:tcW w:w="742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Связь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с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муниципальной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программой</w:t>
            </w:r>
            <w:r/>
          </w:p>
        </w:tc>
        <w:tc>
          <w:tcPr>
            <w:tcW w:w="7699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Муниципальная</w:t>
            </w:r>
            <w:r>
              <w:rPr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программа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</w:rPr>
              <w:t>Развитие и поддержка субъектов малого и среднего предпринимательства Анжеро-Судженского городского округа</w:t>
            </w:r>
            <w:r>
              <w:rPr>
                <w:sz w:val="20"/>
                <w:szCs w:val="20"/>
                <w:lang w:eastAsia="zh-cn"/>
              </w:rPr>
              <w:t>»</w:t>
            </w:r>
            <w:r/>
          </w:p>
        </w:tc>
      </w:tr>
    </w:tbl>
    <w:p>
      <w:pPr>
        <w:spacing/>
        <w:contextualSpacing/>
        <w:jc w:val="both"/>
        <w:tabs defTabSz="708">
          <w:tab w:val="left" w:pos="0" w:leader="none"/>
        </w:tabs>
      </w:pPr>
      <w:r/>
    </w:p>
    <w:p>
      <w:pPr>
        <w:spacing/>
        <w:jc w:val="center"/>
        <w:rPr>
          <w:sz w:val="28"/>
          <w:szCs w:val="28"/>
          <w:noProof w:val="1"/>
        </w:rPr>
      </w:pPr>
      <w:r>
        <w:rPr>
          <w:sz w:val="28"/>
          <w:szCs w:val="28"/>
          <w:noProof w:val="1"/>
        </w:rPr>
        <w:t>2. Показатели</w:t>
      </w:r>
      <w:r>
        <w:rPr>
          <w:spacing w:val="-4" w:percent="96"/>
          <w:sz w:val="28"/>
          <w:szCs w:val="28"/>
          <w:noProof w:val="1"/>
        </w:rPr>
        <w:t xml:space="preserve"> </w:t>
      </w:r>
      <w:r>
        <w:rPr>
          <w:sz w:val="28"/>
          <w:szCs w:val="28"/>
          <w:noProof w:val="1"/>
        </w:rPr>
        <w:t>комплекса процессных</w:t>
      </w:r>
      <w:r>
        <w:rPr>
          <w:spacing w:val="-4" w:percent="96"/>
          <w:sz w:val="28"/>
          <w:szCs w:val="28"/>
          <w:noProof w:val="1"/>
        </w:rPr>
        <w:t xml:space="preserve"> </w:t>
      </w:r>
      <w:r>
        <w:rPr>
          <w:sz w:val="28"/>
          <w:szCs w:val="28"/>
          <w:noProof w:val="1"/>
        </w:rPr>
        <w:t>мероприятий</w:t>
      </w:r>
    </w:p>
    <w:p>
      <w:pPr>
        <w:spacing/>
        <w:jc w:val="center"/>
        <w:rPr>
          <w:lang w:eastAsia="zh-cn"/>
        </w:rPr>
      </w:pPr>
      <w:r>
        <w:rPr>
          <w:lang w:eastAsia="zh-cn"/>
        </w:rPr>
      </w:r>
    </w:p>
    <w:tbl>
      <w:tblPr>
        <w:name w:val="Таблица9"/>
        <w:tabOrder w:val="0"/>
        <w:jc w:val="center"/>
        <w:tblInd w:w="0" w:type="dxa"/>
        <w:tblW w:w="15123" w:type="dxa"/>
        <w:pPr>
          <w:spacing/>
          <w:jc w:val="center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587"/>
        <w:gridCol w:w="2041"/>
        <w:gridCol w:w="1269"/>
        <w:gridCol w:w="1410"/>
        <w:gridCol w:w="1311"/>
        <w:gridCol w:w="975"/>
        <w:gridCol w:w="838"/>
        <w:gridCol w:w="948"/>
        <w:gridCol w:w="1031"/>
        <w:gridCol w:w="956"/>
        <w:gridCol w:w="931"/>
        <w:gridCol w:w="948"/>
        <w:gridCol w:w="1878"/>
      </w:tblGrid>
      <w:tr>
        <w:trPr>
          <w:tblHeader w:val="0"/>
          <w:cantSplit w:val="0"/>
          <w:trHeight w:val="264" w:hRule="atLeast"/>
        </w:trPr>
        <w:tc>
          <w:tcPr>
            <w:tcW w:w="587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№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>
              <w:rPr>
                <w:sz w:val="20"/>
                <w:szCs w:val="20"/>
              </w:rPr>
            </w:r>
          </w:p>
        </w:tc>
        <w:tc>
          <w:tcPr>
            <w:tcW w:w="2041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показателя/задачи</w:t>
            </w:r>
            <w:r>
              <w:rPr>
                <w:sz w:val="20"/>
                <w:szCs w:val="20"/>
              </w:rPr>
            </w:r>
          </w:p>
        </w:tc>
        <w:tc>
          <w:tcPr>
            <w:tcW w:w="1269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Признак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возрастания/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убывания</w:t>
            </w:r>
            <w:r>
              <w:rPr>
                <w:sz w:val="20"/>
                <w:szCs w:val="20"/>
              </w:rPr>
            </w:r>
          </w:p>
        </w:tc>
        <w:tc>
          <w:tcPr>
            <w:tcW w:w="1410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Уровень показателя</w:t>
            </w:r>
            <w:r>
              <w:rPr>
                <w:sz w:val="20"/>
                <w:szCs w:val="20"/>
                <w:vertAlign w:val="superscript"/>
                <w:noProof w:val="1"/>
              </w:rPr>
              <w:t>3</w:t>
            </w:r>
            <w:r>
              <w:rPr>
                <w:sz w:val="20"/>
                <w:szCs w:val="20"/>
              </w:rPr>
            </w:r>
          </w:p>
        </w:tc>
        <w:tc>
          <w:tcPr>
            <w:tcW w:w="1311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Единица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измерения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     </w:t>
            </w:r>
            <w:r>
              <w:rPr>
                <w:spacing w:val="-1" w:percent="99"/>
                <w:sz w:val="20"/>
                <w:szCs w:val="20"/>
                <w:lang w:eastAsia="zh-cn"/>
              </w:rPr>
              <w:t>(по</w:t>
            </w:r>
            <w:r>
              <w:rPr>
                <w:spacing w:val="-9" w:percent="8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ОКЕИ)</w:t>
            </w:r>
            <w:r>
              <w:rPr>
                <w:sz w:val="20"/>
                <w:szCs w:val="20"/>
              </w:rPr>
            </w:r>
          </w:p>
        </w:tc>
        <w:tc>
          <w:tcPr>
            <w:tcW w:w="1813" w:type="dxa"/>
            <w:gridSpan w:val="2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Базовое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4814" w:type="dxa"/>
            <w:gridSpan w:val="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показателей</w:t>
            </w:r>
            <w:r>
              <w:rPr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z w:val="20"/>
                <w:szCs w:val="20"/>
              </w:rPr>
            </w:r>
          </w:p>
        </w:tc>
        <w:tc>
          <w:tcPr>
            <w:tcW w:w="187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Ответственный за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достижение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показателя (участник муниципальной программы)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573" w:hRule="atLeast"/>
        </w:trPr>
        <w:tc>
          <w:tcPr>
            <w:tcW w:w="587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2041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269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410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311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97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83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год</w:t>
            </w:r>
            <w:r>
              <w:rPr>
                <w:sz w:val="20"/>
                <w:szCs w:val="20"/>
              </w:rPr>
            </w:r>
          </w:p>
        </w:tc>
        <w:tc>
          <w:tcPr>
            <w:tcW w:w="94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2026</w:t>
            </w:r>
            <w:r>
              <w:rPr>
                <w:sz w:val="20"/>
                <w:szCs w:val="20"/>
              </w:rPr>
            </w:r>
          </w:p>
        </w:tc>
        <w:tc>
          <w:tcPr>
            <w:tcW w:w="103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95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93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4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87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</w:tr>
      <w:tr>
        <w:trPr>
          <w:tblHeader w:val="0"/>
          <w:cantSplit w:val="0"/>
          <w:trHeight w:val="353" w:hRule="atLeast"/>
        </w:trPr>
        <w:tc>
          <w:tcPr>
            <w:tcW w:w="58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536" w:type="dxa"/>
            <w:gridSpan w:val="1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Сформирован позитивный образ предпринимательства как важного фактора социально-экономического развития городского округа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8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1.1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4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награжденных представителей малого и среднего бизнеса</w:t>
            </w:r>
            <w:r>
              <w:rPr>
                <w:b/>
                <w:i/>
                <w:sz w:val="20"/>
                <w:szCs w:val="20"/>
              </w:rPr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возрастание</w:t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Человек 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</w:tr>
      <w:tr>
        <w:trPr>
          <w:tblHeader w:val="0"/>
          <w:cantSplit w:val="0"/>
          <w:trHeight w:val="413" w:hRule="atLeast"/>
        </w:trPr>
        <w:tc>
          <w:tcPr>
            <w:tcW w:w="58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536" w:type="dxa"/>
            <w:gridSpan w:val="1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Созданы благоприятные условия для осуществления деятельности индивидуальными предпринимателями и самозанятыми гражданами посредством применения нового режима налогообложения и предоставления мер поддержки</w:t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8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04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зарегистрированных на территории городского округа индивидуальных предпринимателей </w:t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возрастание</w:t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1156</w:t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1160</w:t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1200</w:t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1250</w:t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1300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1300</w:t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8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04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1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граждан являющихся самозанятыми и подтвердивших статус плательщика налога "Налог на профессиональный доход"</w:t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возрастание</w:t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2344</w:t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2840</w:t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3300</w:t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3750</w:t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4200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4700</w:t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</w:tr>
      <w:tr>
        <w:trPr>
          <w:tblHeader w:val="0"/>
          <w:cantSplit w:val="0"/>
          <w:trHeight w:val="317" w:hRule="atLeast"/>
        </w:trPr>
        <w:tc>
          <w:tcPr>
            <w:tcW w:w="58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536" w:type="dxa"/>
            <w:gridSpan w:val="12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firstLine="1"/>
              <w:spacing/>
              <w:jc w:val="both"/>
              <w:tabs defTabSz="708">
                <w:tab w:val="left" w:pos="1660" w:leader="none"/>
                <w:tab w:val="left" w:pos="810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Созданы благоприятные условия для стимулирования инвестиционной деятельности</w:t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8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04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резидентов ТОР «Анжеро-Судженск» осуществляющих свою деятельность</w:t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возрастание</w:t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8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204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субъектов инвестиционной деятельности на территории Анжеро-Судженского городского округа</w:t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возрастание</w:t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</w:tr>
      <w:tr>
        <w:trPr>
          <w:tblHeader w:val="0"/>
          <w:cantSplit w:val="0"/>
          <w:trHeight w:val="677" w:hRule="atLeast"/>
        </w:trPr>
        <w:tc>
          <w:tcPr>
            <w:tcW w:w="58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204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российских организаций, осуществляющих деятельность в области информационных технологий на территории Анжеро-Судженского городского округа</w:t>
            </w:r>
          </w:p>
        </w:tc>
        <w:tc>
          <w:tcPr>
            <w:tcW w:w="126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41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31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97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83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95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9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9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87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</w:tr>
    </w:tbl>
    <w:p>
      <w:pPr>
        <w:spacing/>
        <w:jc w:val="center"/>
        <w:tabs defTabSz="708">
          <w:tab w:val="left" w:pos="4980" w:leader="none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p>
      <w:pPr>
        <w:spacing/>
        <w:jc w:val="center"/>
        <w:tabs defTabSz="708">
          <w:tab w:val="left" w:pos="3544" w:leader="none"/>
        </w:tabs>
        <w:rPr>
          <w:sz w:val="28"/>
          <w:szCs w:val="28"/>
          <w:noProof w:val="1"/>
        </w:rPr>
      </w:pPr>
      <w:r>
        <w:rPr>
          <w:sz w:val="28"/>
          <w:szCs w:val="28"/>
          <w:noProof w:val="1"/>
        </w:rPr>
        <w:t>3. План достижения показателей комплекса процессных мероприятий в 2026 году</w:t>
      </w:r>
    </w:p>
    <w:p>
      <w:pPr>
        <w:spacing/>
        <w:jc w:val="center"/>
        <w:tabs defTabSz="708">
          <w:tab w:val="left" w:pos="3544" w:leader="none"/>
        </w:tabs>
      </w:pPr>
      <w:r/>
    </w:p>
    <w:tbl>
      <w:tblPr>
        <w:name w:val="Таблица10"/>
        <w:tabOrder w:val="0"/>
        <w:jc w:val="center"/>
        <w:tblInd w:w="0" w:type="dxa"/>
        <w:tblW w:w="15170" w:type="dxa"/>
        <w:pPr>
          <w:ind w:left="-6"/>
          <w:spacing/>
          <w:jc w:val="center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648"/>
        <w:gridCol w:w="2850"/>
        <w:gridCol w:w="1033"/>
        <w:gridCol w:w="1166"/>
        <w:gridCol w:w="778"/>
        <w:gridCol w:w="774"/>
        <w:gridCol w:w="518"/>
        <w:gridCol w:w="649"/>
        <w:gridCol w:w="517"/>
        <w:gridCol w:w="571"/>
        <w:gridCol w:w="512"/>
        <w:gridCol w:w="602"/>
        <w:gridCol w:w="777"/>
        <w:gridCol w:w="778"/>
        <w:gridCol w:w="648"/>
        <w:gridCol w:w="2349"/>
      </w:tblGrid>
      <w:tr>
        <w:trPr>
          <w:tblHeader/>
          <w:cantSplit w:val="0"/>
          <w:trHeight w:val="349" w:hRule="atLeast"/>
        </w:trPr>
        <w:tc>
          <w:tcPr>
            <w:tcW w:w="648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№ п/п</w:t>
            </w:r>
            <w:r/>
          </w:p>
        </w:tc>
        <w:tc>
          <w:tcPr>
            <w:tcW w:w="2850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Показатели комплекса процессных мероприятий</w:t>
            </w:r>
            <w:r/>
          </w:p>
        </w:tc>
        <w:tc>
          <w:tcPr>
            <w:tcW w:w="1033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Уровень показателя</w:t>
            </w:r>
            <w:r/>
          </w:p>
        </w:tc>
        <w:tc>
          <w:tcPr>
            <w:tcW w:w="1166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Единица измерения</w:t>
            </w:r>
          </w:p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(по ОКЕИ)</w:t>
            </w:r>
            <w:r/>
          </w:p>
        </w:tc>
        <w:tc>
          <w:tcPr>
            <w:tcW w:w="7124" w:type="dxa"/>
            <w:gridSpan w:val="11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Плановые значения по месяцам</w:t>
            </w:r>
            <w:r/>
          </w:p>
        </w:tc>
        <w:tc>
          <w:tcPr>
            <w:tcW w:w="2349" w:type="dxa"/>
            <w:vMerge w:val="restart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На конец (указывается год) года</w:t>
            </w:r>
            <w:r/>
          </w:p>
        </w:tc>
      </w:tr>
      <w:tr>
        <w:trPr>
          <w:tblHeader/>
          <w:cantSplit w:val="0"/>
          <w:trHeight w:val="661" w:hRule="atLeast"/>
        </w:trPr>
        <w:tc>
          <w:tcPr>
            <w:tcW w:w="648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2850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033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166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январь</w:t>
            </w:r>
            <w:r/>
          </w:p>
        </w:tc>
        <w:tc>
          <w:tcPr>
            <w:tcW w:w="77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февраль</w:t>
            </w:r>
            <w:r/>
          </w:p>
        </w:tc>
        <w:tc>
          <w:tcPr>
            <w:tcW w:w="51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март</w:t>
            </w:r>
            <w:r/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апрель</w:t>
            </w:r>
            <w:r/>
          </w:p>
        </w:tc>
        <w:tc>
          <w:tcPr>
            <w:tcW w:w="51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май</w:t>
            </w:r>
            <w:r/>
          </w:p>
        </w:tc>
        <w:tc>
          <w:tcPr>
            <w:tcW w:w="57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июнь</w:t>
            </w:r>
            <w:r/>
          </w:p>
        </w:tc>
        <w:tc>
          <w:tcPr>
            <w:tcW w:w="51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июль</w:t>
            </w:r>
            <w:r/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август</w:t>
            </w:r>
            <w:r/>
          </w:p>
        </w:tc>
        <w:tc>
          <w:tcPr>
            <w:tcW w:w="77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сентябрь</w:t>
            </w:r>
            <w:r/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октябрь</w:t>
            </w:r>
            <w:r/>
          </w:p>
        </w:tc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ноябрь</w:t>
            </w:r>
            <w:r/>
          </w:p>
        </w:tc>
        <w:tc>
          <w:tcPr>
            <w:tcW w:w="2349" w:type="dxa"/>
            <w:vMerge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1.</w:t>
            </w:r>
            <w:r/>
          </w:p>
        </w:tc>
        <w:tc>
          <w:tcPr>
            <w:tcW w:w="14522" w:type="dxa"/>
            <w:gridSpan w:val="15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Сформирован позитивный образ предпринимательства как важного фактора социально-экономического развития городского округа</w:t>
            </w:r>
            <w:r/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1.1</w:t>
            </w:r>
            <w:r>
              <w:t>.</w:t>
            </w:r>
          </w:p>
        </w:tc>
        <w:tc>
          <w:tcPr>
            <w:tcW w:w="2850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>Количество награжденных представителей малого и среднего бизнеса</w:t>
            </w:r>
          </w:p>
        </w:tc>
        <w:tc>
          <w:tcPr>
            <w:tcW w:w="103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16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77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51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51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57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51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7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23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70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4522" w:type="dxa"/>
            <w:gridSpan w:val="15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Созданы благоприятные условия для осуществления деятельности самозанятыми гражданами посредством применения нового режима налогообложения и предоставления мер поддержки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</w:pPr>
            <w:r>
              <w:rPr>
                <w:sz w:val="20"/>
                <w:szCs w:val="20"/>
                <w:lang w:eastAsia="zh-cn"/>
              </w:rPr>
              <w:t>2.1</w:t>
            </w:r>
            <w:r>
              <w:t>.</w:t>
            </w:r>
          </w:p>
        </w:tc>
        <w:tc>
          <w:tcPr>
            <w:tcW w:w="2850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Количество граждан являющихся самозанятыми и подтвердивших статус плательщика налога "Налог на профессиональный доход"</w:t>
            </w:r>
          </w:p>
        </w:tc>
        <w:tc>
          <w:tcPr>
            <w:tcW w:w="103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16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2344</w:t>
            </w:r>
          </w:p>
        </w:tc>
        <w:tc>
          <w:tcPr>
            <w:tcW w:w="77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2393</w:t>
            </w:r>
          </w:p>
        </w:tc>
        <w:tc>
          <w:tcPr>
            <w:tcW w:w="51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2442</w:t>
            </w:r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2491</w:t>
            </w:r>
          </w:p>
        </w:tc>
        <w:tc>
          <w:tcPr>
            <w:tcW w:w="51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2540</w:t>
            </w:r>
          </w:p>
        </w:tc>
        <w:tc>
          <w:tcPr>
            <w:tcW w:w="57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2589</w:t>
            </w:r>
          </w:p>
        </w:tc>
        <w:tc>
          <w:tcPr>
            <w:tcW w:w="51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2638</w:t>
            </w:r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2687</w:t>
            </w:r>
          </w:p>
        </w:tc>
        <w:tc>
          <w:tcPr>
            <w:tcW w:w="77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2736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2785</w:t>
            </w:r>
          </w:p>
        </w:tc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2834</w:t>
            </w:r>
          </w:p>
        </w:tc>
        <w:tc>
          <w:tcPr>
            <w:tcW w:w="23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2840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522" w:type="dxa"/>
            <w:gridSpan w:val="15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firstLine="1"/>
              <w:spacing/>
              <w:jc w:val="both"/>
              <w:tabs defTabSz="708">
                <w:tab w:val="left" w:pos="1660" w:leader="none"/>
                <w:tab w:val="left" w:pos="810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Созданы благоприятные условия для стимулирования инвестиционной деятельности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8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резидентов ТОР «Анжеро-Судженск» осуществляющих свою деятельность</w:t>
            </w:r>
          </w:p>
        </w:tc>
        <w:tc>
          <w:tcPr>
            <w:tcW w:w="103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16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7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51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51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57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51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7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23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2</w:t>
            </w: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28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субъектов инвестиционной деятельности на территории Анжеро-Судженского городского округа</w:t>
            </w:r>
          </w:p>
        </w:tc>
        <w:tc>
          <w:tcPr>
            <w:tcW w:w="103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16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7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7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7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3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</w:tr>
      <w:tr>
        <w:trPr>
          <w:tblHeader w:val="0"/>
          <w:cantSplit w:val="0"/>
          <w:trHeight w:val="386" w:hRule="atLeast"/>
        </w:trPr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28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российских организаций, осуществляющих деятельность в области информационных технологий на территории Анжеро-Судженского городского округа</w:t>
            </w:r>
          </w:p>
        </w:tc>
        <w:tc>
          <w:tcPr>
            <w:tcW w:w="1033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КПМ</w:t>
            </w:r>
          </w:p>
        </w:tc>
        <w:tc>
          <w:tcPr>
            <w:tcW w:w="1166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Человек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774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51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6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51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571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51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602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777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77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648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</w:p>
        </w:tc>
        <w:tc>
          <w:tcPr>
            <w:tcW w:w="2349" w:type="dxa"/>
            <w:vAlign w:val="center"/>
            <w:shd w:val="none"/>
            <w:tcMar>
              <w:top w:w="0" w:type="dxa"/>
              <w:left w:w="6" w:type="dxa"/>
              <w:bottom w:w="0" w:type="dxa"/>
              <w:right w:w="6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kern w:val="1"/>
                <w:sz w:val="20"/>
                <w:szCs w:val="20"/>
              </w:rPr>
              <w:t>≥ 1</w:t>
            </w:r>
            <w:r>
              <w:rPr>
                <w:sz w:val="20"/>
                <w:szCs w:val="20"/>
                <w:lang w:eastAsia="zh-cn"/>
              </w:rPr>
            </w:r>
          </w:p>
        </w:tc>
      </w:tr>
    </w:tbl>
    <w:p>
      <w:pPr>
        <w:spacing/>
        <w:jc w:val="both"/>
        <w:tabs defTabSz="708">
          <w:tab w:val="left" w:pos="3544" w:leader="none"/>
        </w:tabs>
      </w:pPr>
      <w:r/>
    </w:p>
    <w:p>
      <w:pPr>
        <w:spacing/>
        <w:jc w:val="both"/>
        <w:tabs defTabSz="708">
          <w:tab w:val="left" w:pos="3544" w:leader="none"/>
        </w:tabs>
      </w:pPr>
      <w:r/>
    </w:p>
    <w:p>
      <w:pPr>
        <w:spacing/>
        <w:jc w:val="both"/>
        <w:tabs defTabSz="708">
          <w:tab w:val="left" w:pos="3544" w:leader="none"/>
        </w:tabs>
      </w:pPr>
      <w:r/>
    </w:p>
    <w:p>
      <w:pPr>
        <w:spacing/>
        <w:jc w:val="both"/>
        <w:tabs defTabSz="708">
          <w:tab w:val="left" w:pos="3544" w:leader="none"/>
        </w:tabs>
      </w:pPr>
      <w:r/>
    </w:p>
    <w:p>
      <w:pPr>
        <w:spacing/>
        <w:jc w:val="both"/>
        <w:tabs defTabSz="708">
          <w:tab w:val="left" w:pos="3544" w:leader="none"/>
        </w:tabs>
      </w:pPr>
      <w:r/>
    </w:p>
    <w:p>
      <w:pPr>
        <w:spacing/>
        <w:jc w:val="center"/>
        <w:tabs defTabSz="708">
          <w:tab w:val="left" w:pos="3544" w:leader="none"/>
        </w:tabs>
      </w:pPr>
      <w:r/>
    </w:p>
    <w:p>
      <w:pPr>
        <w:spacing/>
        <w:jc w:val="center"/>
        <w:tabs defTabSz="708">
          <w:tab w:val="left" w:pos="3544" w:leader="none"/>
        </w:tabs>
        <w:rPr>
          <w:sz w:val="28"/>
          <w:szCs w:val="28"/>
        </w:rPr>
      </w:pPr>
      <w:r>
        <w:rPr>
          <w:sz w:val="28"/>
          <w:szCs w:val="28"/>
        </w:rPr>
        <w:t>4. Перечень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(результатов)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-1" w:percent="99"/>
          <w:sz w:val="28"/>
          <w:szCs w:val="28"/>
        </w:rPr>
        <w:t xml:space="preserve"> </w:t>
      </w:r>
      <w:r>
        <w:rPr>
          <w:sz w:val="28"/>
          <w:szCs w:val="28"/>
        </w:rPr>
        <w:t>процессных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tbl>
      <w:tblPr>
        <w:name w:val="Таблица11"/>
        <w:tabOrder w:val="0"/>
        <w:jc w:val="center"/>
        <w:tblInd w:w="0" w:type="dxa"/>
        <w:tblW w:w="15160" w:type="dxa"/>
        <w:pPr>
          <w:spacing/>
          <w:jc w:val="center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532"/>
        <w:gridCol w:w="2366"/>
        <w:gridCol w:w="1348"/>
        <w:gridCol w:w="4016"/>
        <w:gridCol w:w="1025"/>
        <w:gridCol w:w="915"/>
        <w:gridCol w:w="720"/>
        <w:gridCol w:w="862"/>
        <w:gridCol w:w="858"/>
        <w:gridCol w:w="888"/>
        <w:gridCol w:w="799"/>
        <w:gridCol w:w="831"/>
      </w:tblGrid>
      <w:tr>
        <w:trPr>
          <w:tblHeader w:val="0"/>
          <w:cantSplit w:val="0"/>
          <w:trHeight w:val="404" w:hRule="atLeast"/>
        </w:trPr>
        <w:tc>
          <w:tcPr>
            <w:tcW w:w="532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№ 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п/п</w:t>
            </w:r>
            <w:r>
              <w:rPr>
                <w:sz w:val="20"/>
                <w:szCs w:val="20"/>
              </w:rPr>
            </w:r>
          </w:p>
        </w:tc>
        <w:tc>
          <w:tcPr>
            <w:tcW w:w="2366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мероприятия</w:t>
            </w:r>
            <w:r>
              <w:rPr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z w:val="20"/>
                <w:szCs w:val="20"/>
              </w:rPr>
            </w:r>
          </w:p>
        </w:tc>
        <w:tc>
          <w:tcPr>
            <w:tcW w:w="1348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Тип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мероприятий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z w:val="20"/>
                <w:szCs w:val="20"/>
              </w:rPr>
            </w:r>
          </w:p>
        </w:tc>
        <w:tc>
          <w:tcPr>
            <w:tcW w:w="4016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Характеристика</w:t>
            </w:r>
            <w:r>
              <w:rPr>
                <w:sz w:val="20"/>
                <w:szCs w:val="20"/>
              </w:rPr>
            </w:r>
          </w:p>
        </w:tc>
        <w:tc>
          <w:tcPr>
            <w:tcW w:w="1025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Единица измерения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(по</w:t>
            </w:r>
            <w:r>
              <w:rPr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ОКЕИ)</w:t>
            </w:r>
            <w:r>
              <w:rPr>
                <w:sz w:val="20"/>
                <w:szCs w:val="20"/>
              </w:rPr>
            </w:r>
          </w:p>
        </w:tc>
        <w:tc>
          <w:tcPr>
            <w:tcW w:w="1635" w:type="dxa"/>
            <w:gridSpan w:val="2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Базовое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4238" w:type="dxa"/>
            <w:gridSpan w:val="5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Значения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мероприятия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260" w:hRule="atLeast"/>
        </w:trPr>
        <w:tc>
          <w:tcPr>
            <w:tcW w:w="532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2366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348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4016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025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915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год</w:t>
            </w:r>
            <w:r>
              <w:rPr>
                <w:sz w:val="20"/>
                <w:szCs w:val="20"/>
              </w:rPr>
            </w:r>
          </w:p>
        </w:tc>
        <w:tc>
          <w:tcPr>
            <w:tcW w:w="86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>
        <w:trPr>
          <w:tblHeader w:val="0"/>
          <w:cantSplit w:val="0"/>
          <w:trHeight w:val="333" w:hRule="atLeast"/>
        </w:trPr>
        <w:tc>
          <w:tcPr>
            <w:tcW w:w="14329" w:type="dxa"/>
            <w:gridSpan w:val="11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1. Сформирован позитивный образ предпринимательства как важного фактора социально-экономического развития городского округа</w:t>
            </w:r>
            <w:r>
              <w:rPr>
                <w:sz w:val="20"/>
                <w:szCs w:val="20"/>
              </w:rPr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373" w:hRule="atLeast"/>
        </w:trPr>
        <w:tc>
          <w:tcPr>
            <w:tcW w:w="5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236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Мероприятие (результат)</w:t>
            </w:r>
          </w:p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«Осуществлено проведение мероприятий, направленных на формирование позитивного образа предпринимательства»</w:t>
            </w:r>
          </w:p>
        </w:tc>
        <w:tc>
          <w:tcPr>
            <w:tcW w:w="13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Осуществление текущей деятельности</w:t>
            </w:r>
          </w:p>
        </w:tc>
        <w:tc>
          <w:tcPr>
            <w:tcW w:w="401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Осуществлено размещение публикаций и репортажей в СМИ.</w:t>
            </w:r>
          </w:p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Результатом является общее количество репортажей и публикаций в СМИ.</w:t>
            </w:r>
          </w:p>
        </w:tc>
        <w:tc>
          <w:tcPr>
            <w:tcW w:w="102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94</w:t>
            </w:r>
          </w:p>
        </w:tc>
        <w:tc>
          <w:tcPr>
            <w:tcW w:w="72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86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94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94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94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94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94</w:t>
            </w:r>
          </w:p>
        </w:tc>
      </w:tr>
      <w:tr>
        <w:trPr>
          <w:tblHeader w:val="0"/>
          <w:cantSplit w:val="0"/>
          <w:trHeight w:val="405" w:hRule="atLeast"/>
        </w:trPr>
        <w:tc>
          <w:tcPr>
            <w:tcW w:w="14329" w:type="dxa"/>
            <w:gridSpan w:val="11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left="113"/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2. Созданы благоприятные условия для осуществления деятельности самозанятыми гражданами посредством применения нового режима налогообложения и предоставления мер поддержки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left="113"/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405" w:hRule="atLeast"/>
        </w:trPr>
        <w:tc>
          <w:tcPr>
            <w:tcW w:w="5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 </w:t>
            </w:r>
          </w:p>
        </w:tc>
        <w:tc>
          <w:tcPr>
            <w:tcW w:w="236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kern w:val="1"/>
                <w:sz w:val="20"/>
                <w:szCs w:val="20"/>
                <w:lang w:eastAsia="zh-cn" w:bidi="ar-sa"/>
              </w:rPr>
            </w:pPr>
            <w:r>
              <w:rPr>
                <w:kern w:val="1"/>
                <w:sz w:val="20"/>
                <w:szCs w:val="20"/>
                <w:lang w:eastAsia="zh-cn" w:bidi="ar-sa"/>
              </w:rPr>
              <w:t>Мероприятие (результат)</w:t>
            </w:r>
          </w:p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kern w:val="1"/>
                <w:sz w:val="20"/>
                <w:szCs w:val="20"/>
                <w:lang w:eastAsia="zh-cn" w:bidi="ar-sa"/>
              </w:rPr>
              <w:t xml:space="preserve">«Осуществлено проведение мероприятий, направленных на повышение информированности населения городского округа о возможности применения </w:t>
            </w:r>
            <w:r>
              <w:rPr>
                <w:sz w:val="20"/>
                <w:szCs w:val="20"/>
                <w:lang w:eastAsia="zh-cn"/>
              </w:rPr>
              <w:t>нового режима налогообложения (НПД)»</w:t>
            </w:r>
          </w:p>
        </w:tc>
        <w:tc>
          <w:tcPr>
            <w:tcW w:w="13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Осуществление текущей деятельности</w:t>
            </w:r>
          </w:p>
        </w:tc>
        <w:tc>
          <w:tcPr>
            <w:tcW w:w="401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Организованы и осуществлены консультации, совещания, встречи, выступления.</w:t>
            </w:r>
          </w:p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Результатом является общее количество проведенных мероприятий</w:t>
            </w:r>
          </w:p>
        </w:tc>
        <w:tc>
          <w:tcPr>
            <w:tcW w:w="102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Единиц</w:t>
            </w:r>
          </w:p>
        </w:tc>
        <w:tc>
          <w:tcPr>
            <w:tcW w:w="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250</w:t>
            </w:r>
          </w:p>
        </w:tc>
        <w:tc>
          <w:tcPr>
            <w:tcW w:w="72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86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250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250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250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250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250</w:t>
            </w:r>
          </w:p>
        </w:tc>
      </w:tr>
      <w:tr>
        <w:trPr>
          <w:tblHeader w:val="0"/>
          <w:cantSplit w:val="0"/>
          <w:trHeight w:val="405" w:hRule="atLeast"/>
        </w:trPr>
        <w:tc>
          <w:tcPr>
            <w:tcW w:w="15160" w:type="dxa"/>
            <w:gridSpan w:val="12"/>
            <w:shd w:val="none"/>
            <w:tcMar>
              <w:top w:w="0" w:type="dxa"/>
              <w:left w:w="11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ind w:left="57"/>
              <w:spacing/>
              <w:contextualSpacing/>
              <w:jc w:val="both"/>
              <w:keepNext/>
              <w:keepLines/>
              <w:tabs defTabSz="708">
                <w:tab w:val="left" w:pos="1660" w:leader="none"/>
                <w:tab w:val="left" w:pos="810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Созданы благоприятные условия для стимулирования инвестиционной деятельности</w:t>
            </w:r>
          </w:p>
        </w:tc>
      </w:tr>
      <w:tr>
        <w:trPr>
          <w:tblHeader w:val="0"/>
          <w:cantSplit w:val="0"/>
          <w:trHeight w:val="405" w:hRule="atLeast"/>
        </w:trPr>
        <w:tc>
          <w:tcPr>
            <w:tcW w:w="53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3.1. </w:t>
            </w:r>
          </w:p>
        </w:tc>
        <w:tc>
          <w:tcPr>
            <w:tcW w:w="2366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kern w:val="1"/>
                <w:sz w:val="20"/>
                <w:szCs w:val="20"/>
                <w:lang w:eastAsia="zh-cn" w:bidi="ar-sa"/>
              </w:rPr>
            </w:pPr>
            <w:r>
              <w:rPr>
                <w:kern w:val="1"/>
                <w:sz w:val="20"/>
                <w:szCs w:val="20"/>
                <w:lang w:eastAsia="zh-cn" w:bidi="ar-sa"/>
              </w:rPr>
              <w:t>Мероприятие (результат)</w:t>
            </w:r>
          </w:p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kern w:val="1"/>
                <w:sz w:val="20"/>
                <w:szCs w:val="20"/>
                <w:lang w:eastAsia="zh-cn" w:bidi="ar-sa"/>
              </w:rPr>
              <w:t>«</w:t>
            </w:r>
            <w:r>
              <w:rPr>
                <w:sz w:val="20"/>
                <w:szCs w:val="20"/>
                <w:lang w:eastAsia="zh-cn"/>
              </w:rPr>
              <w:t>Осуществлено проведение мероприятий, направленных на повышение эффективности взаимодействия между участниками инвестиционного процесса»</w:t>
            </w:r>
          </w:p>
        </w:tc>
        <w:tc>
          <w:tcPr>
            <w:tcW w:w="134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Осуществление текущей деятельности</w:t>
            </w:r>
          </w:p>
        </w:tc>
        <w:tc>
          <w:tcPr>
            <w:tcW w:w="401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pStyle w:val="para14"/>
              <w:ind w:firstLine="0"/>
              <w:hyphenationLines w:val="1"/>
              <w:rPr>
                <w:rFonts w:ascii="Times New Roman" w:hAnsi="Times New Roman" w:cs="Times New Roman"/>
                <w:lang w:eastAsia="zh-cn" w:bidi="ar-sa"/>
              </w:rPr>
            </w:pPr>
            <w:r>
              <w:rPr>
                <w:rFonts w:ascii="Times New Roman" w:hAnsi="Times New Roman" w:cs="Times New Roman"/>
                <w:lang w:eastAsia="zh-cn" w:bidi="ar-sa"/>
              </w:rPr>
              <w:t>Обеспечено участие в экономических, стратегических и инвестиционных форумах, конкурсах, конференциях, совещаниях, семинарах, направленных на повышение эффективности взаимодействия участников инвестиционного процесса;</w:t>
            </w:r>
          </w:p>
          <w:p>
            <w:pPr>
              <w:pStyle w:val="para14"/>
              <w:ind w:firstLine="0"/>
              <w:hyphenationLines w:val="1"/>
              <w:rPr>
                <w:rFonts w:ascii="Times New Roman" w:hAnsi="Times New Roman" w:cs="Times New Roman"/>
                <w:lang w:eastAsia="zh-cn" w:bidi="ar-sa"/>
              </w:rPr>
            </w:pPr>
            <w:r>
              <w:rPr>
                <w:rFonts w:ascii="Times New Roman" w:hAnsi="Times New Roman" w:cs="Times New Roman"/>
                <w:lang w:eastAsia="zh-cn" w:bidi="ar-sa"/>
              </w:rPr>
              <w:t>разработан/обновлен/издан инвестиционный паспорт Анжеро-Судженского городского округа (в том числе перевод с русского на иностранные языки);</w:t>
            </w:r>
          </w:p>
          <w:p>
            <w:pPr>
              <w:pStyle w:val="para14"/>
              <w:ind w:firstLine="0"/>
              <w:hyphenationLines w:val="1"/>
              <w:rPr>
                <w:rFonts w:ascii="Times New Roman" w:hAnsi="Times New Roman" w:cs="Times New Roman"/>
                <w:lang w:eastAsia="zh-cn" w:bidi="ar-sa"/>
              </w:rPr>
            </w:pPr>
            <w:r>
              <w:rPr>
                <w:rFonts w:ascii="Times New Roman" w:hAnsi="Times New Roman" w:cs="Times New Roman"/>
                <w:lang w:eastAsia="zh-cn" w:bidi="ar-sa"/>
              </w:rPr>
              <w:t>изготовлена полиграфическая продукция.</w:t>
            </w:r>
          </w:p>
          <w:p>
            <w:pPr>
              <w:pStyle w:val="para14"/>
              <w:ind w:firstLine="0"/>
              <w:hyphenationLines w:val="1"/>
              <w:rPr>
                <w:rFonts w:ascii="Times New Roman" w:hAnsi="Times New Roman" w:cs="Times New Roman"/>
                <w:lang w:eastAsia="zh-cn" w:bidi="ar-sa"/>
              </w:rPr>
            </w:pPr>
            <w:r>
              <w:rPr>
                <w:rFonts w:ascii="Times New Roman" w:hAnsi="Times New Roman" w:cs="Times New Roman"/>
                <w:lang w:eastAsia="zh-cn" w:bidi="ar-sa"/>
              </w:rPr>
              <w:t>Результатом является выполнение запланированных мероприятий</w:t>
            </w:r>
          </w:p>
        </w:tc>
        <w:tc>
          <w:tcPr>
            <w:tcW w:w="102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Процентов</w:t>
            </w:r>
          </w:p>
        </w:tc>
        <w:tc>
          <w:tcPr>
            <w:tcW w:w="915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72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86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8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88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799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83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contextualSpacing/>
              <w:jc w:val="center"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80</w:t>
            </w:r>
          </w:p>
        </w:tc>
      </w:tr>
    </w:tbl>
    <w:p>
      <w:pPr>
        <w:spacing/>
        <w:contextualSpacing/>
        <w:jc w:val="center"/>
        <w:widowContro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contextualSpacing/>
        <w:jc w:val="center"/>
        <w:widowControl w:val="0"/>
      </w:pPr>
      <w:r/>
    </w:p>
    <w:p>
      <w:pPr>
        <w:spacing/>
        <w:contextualSpacing/>
        <w:jc w:val="center"/>
        <w:widowControl w:val="0"/>
        <w:rPr>
          <w:sz w:val="28"/>
          <w:szCs w:val="28"/>
        </w:rPr>
      </w:pPr>
      <w:r>
        <w:rPr>
          <w:sz w:val="28"/>
          <w:szCs w:val="28"/>
        </w:rPr>
        <w:t>5. Финансовое</w:t>
      </w:r>
      <w:r>
        <w:rPr>
          <w:spacing w:val="-8" w:percent="93"/>
          <w:sz w:val="28"/>
          <w:szCs w:val="28"/>
        </w:rPr>
        <w:t xml:space="preserve"> </w:t>
      </w:r>
      <w:r>
        <w:rPr>
          <w:sz w:val="28"/>
          <w:szCs w:val="28"/>
        </w:rPr>
        <w:t>обеспечение</w:t>
      </w:r>
      <w:r>
        <w:rPr>
          <w:spacing w:val="-4" w:percent="96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-6" w:percent="95"/>
          <w:sz w:val="28"/>
          <w:szCs w:val="28"/>
        </w:rPr>
        <w:t xml:space="preserve"> </w:t>
      </w:r>
      <w:r>
        <w:rPr>
          <w:sz w:val="28"/>
          <w:szCs w:val="28"/>
        </w:rPr>
        <w:t>процессных</w:t>
      </w:r>
      <w:r>
        <w:rPr>
          <w:spacing w:val="-9" w:percent="92"/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</w:p>
    <w:p>
      <w:pPr>
        <w:spacing/>
        <w:contextualSpacing/>
        <w:jc w:val="center"/>
        <w:widowControl w:val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name w:val="Таблица12"/>
        <w:tabOrder w:val="0"/>
        <w:jc w:val="center"/>
        <w:tblInd w:w="0" w:type="dxa"/>
        <w:tblW w:w="14543" w:type="dxa"/>
        <w:pPr>
          <w:spacing/>
          <w:jc w:val="center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7827"/>
        <w:gridCol w:w="1170"/>
        <w:gridCol w:w="1160"/>
        <w:gridCol w:w="1158"/>
        <w:gridCol w:w="1051"/>
        <w:gridCol w:w="1027"/>
        <w:gridCol w:w="1150"/>
      </w:tblGrid>
      <w:tr>
        <w:trPr>
          <w:tblHeader w:val="0"/>
          <w:cantSplit w:val="0"/>
          <w:trHeight w:val="675" w:hRule="atLeast"/>
        </w:trPr>
        <w:tc>
          <w:tcPr>
            <w:tcW w:w="7827" w:type="dxa"/>
            <w:vMerge w:val="restart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Наименование</w:t>
            </w:r>
            <w:r>
              <w:rPr>
                <w:spacing w:val="-7" w:percent="9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мероприятия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(результата)</w:t>
            </w:r>
            <w:r>
              <w:rPr>
                <w:spacing w:val="-8" w:percent="9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/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источник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финансового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обеспечения</w:t>
            </w:r>
            <w:r/>
          </w:p>
        </w:tc>
        <w:tc>
          <w:tcPr>
            <w:tcW w:w="6716" w:type="dxa"/>
            <w:gridSpan w:val="6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Объем финансового обеспечения 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по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годам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реализации,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тыс.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рублей</w:t>
            </w:r>
            <w:r/>
          </w:p>
        </w:tc>
      </w:tr>
      <w:tr>
        <w:trPr>
          <w:tblHeader w:val="0"/>
          <w:cantSplit w:val="0"/>
          <w:trHeight w:val="455" w:hRule="atLeast"/>
        </w:trPr>
        <w:tc>
          <w:tcPr>
            <w:tcW w:w="7827" w:type="dxa"/>
            <w:vMerge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hyphenationLines w:val="1"/>
              <w:widowControl w:val="0"/>
              <w:pBdr>
                <w:top w:val="nil" w:sz="0" w:space="3" w:color="000000" tmln="20, 20, 20, 0, 60"/>
                <w:left w:val="nil" w:sz="0" w:space="3" w:color="000000" tmln="20, 20, 20, 0, 60"/>
                <w:bottom w:val="nil" w:sz="0" w:space="3" w:color="000000" tmln="20, 20, 20, 0, 60"/>
                <w:right w:val="nil" w:sz="0" w:space="3" w:color="000000" tmln="20, 20, 20, 0, 60"/>
                <w:between w:val="nil" w:sz="0" w:space="0" w:color="000000" tmln="20, 20, 20, 0, 0"/>
              </w:pBdr>
              <w:shd w:val="none"/>
              <w:rPr>
                <w:rFonts w:eastAsia="SimSun"/>
                <w:kern w:val="1"/>
                <w:sz w:val="20"/>
                <w:szCs w:val="20"/>
                <w:lang w:val="ru-ru" w:eastAsia="zh-cn" w:bidi="ar-sa"/>
              </w:rPr>
            </w:pPr>
          </w:p>
        </w:tc>
        <w:tc>
          <w:tcPr>
            <w:tcW w:w="117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16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1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051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027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15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</w:pPr>
            <w:r>
              <w:rPr>
                <w:sz w:val="20"/>
                <w:szCs w:val="20"/>
                <w:lang w:eastAsia="zh-cn"/>
              </w:rPr>
              <w:t>Всего</w:t>
            </w:r>
            <w:r/>
          </w:p>
        </w:tc>
      </w:tr>
      <w:tr>
        <w:trPr>
          <w:tblHeader w:val="0"/>
          <w:cantSplit w:val="0"/>
          <w:trHeight w:val="349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Комплекс</w:t>
            </w:r>
            <w:r>
              <w:rPr>
                <w:iCs/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процессных</w:t>
            </w:r>
            <w:r>
              <w:rPr>
                <w:iCs/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мероприятий</w:t>
            </w:r>
            <w:r>
              <w:rPr>
                <w:iCs/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</w:rPr>
              <w:t>Формирования благоприятных экономических, правовых и организационных условий для развития малого и среднего предпринимательства на территории Анжеро-Судженского городского округа</w:t>
            </w:r>
            <w:r>
              <w:rPr>
                <w:iCs/>
                <w:sz w:val="20"/>
                <w:szCs w:val="20"/>
                <w:lang w:eastAsia="zh-cn"/>
              </w:rPr>
              <w:t>»</w:t>
            </w:r>
            <w:r>
              <w:rPr>
                <w:iCs/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(всего),</w:t>
            </w:r>
            <w:r>
              <w:rPr>
                <w:iCs/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74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32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blHeader w:val="0"/>
          <w:cantSplit w:val="0"/>
          <w:trHeight w:val="35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84,3</w:t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421,5</w:t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Мероприятие</w:t>
            </w:r>
            <w:r>
              <w:rPr>
                <w:iCs/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(результат)</w:t>
            </w:r>
            <w:r>
              <w:rPr>
                <w:iCs/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  <w:lang w:eastAsia="zh-cn"/>
              </w:rPr>
              <w:t>Осуществлено проведение мероприятий, направленных на формирование позитивного образа предпринимательства</w:t>
            </w:r>
            <w:r>
              <w:rPr>
                <w:iCs/>
                <w:sz w:val="20"/>
                <w:szCs w:val="20"/>
                <w:lang w:eastAsia="zh-cn"/>
              </w:rPr>
              <w:t>»,</w:t>
            </w:r>
            <w:r>
              <w:rPr>
                <w:iCs/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всего,</w:t>
            </w:r>
            <w:r>
              <w:rPr>
                <w:iCs/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4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vertAlign w:val="superscript"/>
                <w:lang w:eastAsia="zh-cn"/>
              </w:rPr>
            </w:pPr>
            <w:r>
              <w:rPr>
                <w:sz w:val="20"/>
                <w:szCs w:val="20"/>
                <w:vertAlign w:val="superscript"/>
                <w:lang w:eastAsia="zh-cn"/>
              </w:rPr>
            </w:r>
          </w:p>
        </w:tc>
      </w:tr>
      <w:tr>
        <w:trPr>
          <w:tblHeader w:val="0"/>
          <w:cantSplit w:val="0"/>
          <w:trHeight w:val="354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6" w:space="0" w:color="000000" tmln="15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Мероприятие</w:t>
            </w:r>
            <w:r>
              <w:rPr>
                <w:iCs/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(результат)</w:t>
            </w:r>
            <w:r>
              <w:rPr>
                <w:iCs/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kern w:val="1"/>
                <w:sz w:val="20"/>
                <w:szCs w:val="20"/>
                <w:lang w:eastAsia="zh-cn" w:bidi="ar-sa"/>
              </w:rPr>
              <w:t xml:space="preserve">Осуществлено проведение мероприятий, направленных на повышение информированности населения городского округа о возможности применения </w:t>
            </w:r>
            <w:r>
              <w:rPr>
                <w:sz w:val="20"/>
                <w:szCs w:val="20"/>
                <w:lang w:eastAsia="zh-cn"/>
              </w:rPr>
              <w:t>нового режима налогообложения (НПД)</w:t>
            </w:r>
            <w:r>
              <w:rPr>
                <w:iCs/>
                <w:sz w:val="20"/>
                <w:szCs w:val="20"/>
                <w:lang w:eastAsia="zh-cn"/>
              </w:rPr>
              <w:t>»,</w:t>
            </w:r>
            <w:r>
              <w:rPr>
                <w:iCs/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всего,</w:t>
            </w:r>
            <w:r>
              <w:rPr>
                <w:iCs/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iCs/>
                <w:sz w:val="20"/>
                <w:szCs w:val="20"/>
                <w:lang w:eastAsia="zh-cn"/>
              </w:rPr>
              <w:t xml:space="preserve"> Мероприятие</w:t>
            </w:r>
            <w:r>
              <w:rPr>
                <w:iCs/>
                <w:spacing w:val="-2" w:percent="97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(результат)</w:t>
            </w:r>
            <w:r>
              <w:rPr>
                <w:iCs/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«</w:t>
            </w:r>
            <w:r>
              <w:rPr>
                <w:sz w:val="20"/>
                <w:szCs w:val="20"/>
                <w:lang w:eastAsia="zh-cn"/>
              </w:rPr>
              <w:t>Осуществлено проведение мероприятий, направленных на повышение эффективности взаимодействия между участниками инвестиционного процесса</w:t>
            </w:r>
            <w:r>
              <w:rPr>
                <w:iCs/>
                <w:sz w:val="20"/>
                <w:szCs w:val="20"/>
                <w:lang w:eastAsia="zh-cn"/>
              </w:rPr>
              <w:t>»,</w:t>
            </w:r>
            <w:r>
              <w:rPr>
                <w:iCs/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всего,</w:t>
            </w:r>
            <w:r>
              <w:rPr>
                <w:iCs/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в</w:t>
            </w:r>
            <w:r>
              <w:rPr>
                <w:iCs/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том</w:t>
            </w:r>
            <w:r>
              <w:rPr>
                <w:iCs/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iCs/>
                <w:sz w:val="20"/>
                <w:szCs w:val="20"/>
                <w:lang w:eastAsia="zh-cn"/>
              </w:rPr>
              <w:t>числе: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Федеральный бюджет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Областной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Местный бюджет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  <w:tr>
        <w:trPr>
          <w:tblHeader w:val="0"/>
          <w:cantSplit w:val="0"/>
          <w:trHeight w:val="286" w:hRule="atLeast"/>
        </w:trPr>
        <w:tc>
          <w:tcPr>
            <w:tcW w:w="78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Внебюджетные источники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117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6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8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51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027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  <w:tc>
          <w:tcPr>
            <w:tcW w:w="115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</w:p>
        </w:tc>
      </w:tr>
    </w:tbl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p>
      <w:pPr>
        <w:spacing/>
        <w:jc w:val="center"/>
      </w:pPr>
      <w:r/>
    </w:p>
    <w:p>
      <w:pPr>
        <w:spacing/>
        <w:jc w:val="center"/>
      </w:pPr>
      <w:r/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6. План реализации комплекса процессных мероприятий</w:t>
      </w:r>
    </w:p>
    <w:p>
      <w:pPr>
        <w:spacing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</w:r>
    </w:p>
    <w:tbl>
      <w:tblPr>
        <w:name w:val="Таблица13"/>
        <w:tabOrder w:val="0"/>
        <w:jc w:val="center"/>
        <w:tblInd w:w="0" w:type="dxa"/>
        <w:tblW w:w="15219" w:type="dxa"/>
        <w:pPr>
          <w:spacing/>
          <w:jc w:val="center"/>
          <w:widowControl w:val="0"/>
          <w:pBdr>
            <w:top w:val="nil" w:sz="0" w:space="3" w:color="000000" tmln="20, 20, 20, 0, 60"/>
            <w:left w:val="nil" w:sz="0" w:space="3" w:color="000000" tmln="20, 20, 20, 0, 60"/>
            <w:bottom w:val="nil" w:sz="0" w:space="3" w:color="000000" tmln="20, 20, 20, 0, 60"/>
            <w:right w:val="nil" w:sz="0" w:space="3" w:color="000000" tmln="20, 20, 20, 0, 60"/>
            <w:between w:val="nil" w:sz="0" w:space="0" w:color="000000" tmln="20, 20, 20, 0, 0"/>
          </w:pBdr>
          <w:shd w:val="none"/>
        </w:pPr>
      </w:tblPr>
      <w:tblGrid>
        <w:gridCol w:w="4743"/>
        <w:gridCol w:w="2594"/>
        <w:gridCol w:w="3202"/>
        <w:gridCol w:w="4680"/>
      </w:tblGrid>
      <w:tr>
        <w:trPr>
          <w:tblHeader w:val="0"/>
          <w:cantSplit w:val="0"/>
          <w:trHeight w:val="1053" w:hRule="atLeast"/>
        </w:trPr>
        <w:tc>
          <w:tcPr>
            <w:tcW w:w="4743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Задача,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мероприятие</w:t>
            </w:r>
            <w:r>
              <w:rPr>
                <w:spacing w:val="-5" w:percent="9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(результат)</w:t>
            </w:r>
            <w:r>
              <w:rPr>
                <w:spacing w:val="-6" w:percent="92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/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контрольная</w:t>
            </w:r>
            <w:r>
              <w:rPr>
                <w:spacing w:val="-3" w:percent="96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точка</w:t>
            </w:r>
            <w:r>
              <w:rPr>
                <w:sz w:val="20"/>
                <w:szCs w:val="20"/>
              </w:rPr>
            </w:r>
          </w:p>
        </w:tc>
        <w:tc>
          <w:tcPr>
            <w:tcW w:w="259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tabs defTabSz="708">
                <w:tab w:val="left" w:pos="2327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Дата наступления контрольной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    </w:t>
            </w:r>
            <w:r>
              <w:rPr>
                <w:sz w:val="20"/>
                <w:szCs w:val="20"/>
                <w:lang w:eastAsia="zh-cn"/>
              </w:rPr>
              <w:t>точки</w:t>
            </w:r>
            <w:r>
              <w:rPr>
                <w:sz w:val="20"/>
                <w:szCs w:val="20"/>
              </w:rPr>
            </w:r>
          </w:p>
        </w:tc>
        <w:tc>
          <w:tcPr>
            <w:tcW w:w="3202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Ответственный исполнитель</w:t>
            </w:r>
            <w:r>
              <w:rPr>
                <w:spacing w:val="1" w:percent="101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(Ф.И.О., должность, наименование</w:t>
            </w:r>
            <w:r>
              <w:rPr>
                <w:spacing w:val="-6" w:percent="92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организации (участник муниципальной программы)</w:t>
            </w:r>
            <w:r>
              <w:rPr>
                <w:sz w:val="20"/>
                <w:szCs w:val="20"/>
              </w:rPr>
            </w:r>
          </w:p>
        </w:tc>
        <w:tc>
          <w:tcPr>
            <w:tcW w:w="4680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Вид подтверждающего</w:t>
            </w:r>
            <w:r>
              <w:rPr>
                <w:spacing w:val="-37" w:percent="54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документа</w:t>
            </w:r>
            <w:r>
              <w:rPr>
                <w:sz w:val="20"/>
                <w:szCs w:val="20"/>
              </w:rPr>
            </w:r>
          </w:p>
        </w:tc>
      </w:tr>
      <w:tr>
        <w:trPr>
          <w:tblHeader w:val="0"/>
          <w:cantSplit w:val="0"/>
          <w:trHeight w:val="421" w:hRule="atLeast"/>
        </w:trPr>
        <w:tc>
          <w:tcPr>
            <w:tcW w:w="15219" w:type="dxa"/>
            <w:gridSpan w:val="4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1. Сформирован позитивный образ предпринимательства как важного фактора социально-экономического развития городского округа</w:t>
            </w:r>
          </w:p>
        </w:tc>
      </w:tr>
      <w:tr>
        <w:trPr>
          <w:tblHeader w:val="0"/>
          <w:cantSplit w:val="0"/>
          <w:trHeight w:val="299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1.1. Мероприятие (результат)</w:t>
            </w:r>
          </w:p>
          <w:p>
            <w:pPr>
              <w:contextualSpacing/>
              <w:keepNext/>
              <w:keepLine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«Осуществлено проведение мероприятий, направленных на формирование позитивного образа предпринимательства»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</w:tr>
      <w:tr>
        <w:trPr>
          <w:tblHeader w:val="0"/>
          <w:cantSplit w:val="0"/>
          <w:trHeight w:val="298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 1.1.1. Контрольная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точка</w:t>
            </w:r>
            <w:r>
              <w:rPr>
                <w:sz w:val="20"/>
                <w:szCs w:val="20"/>
              </w:rPr>
              <w:t xml:space="preserve"> «Проведен мониторинг выполнения установленных целевых значений показателя»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14 числа месяца, следующего за отчетным кварталом, ежеквартально 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Ильясова Е.Р., главный специалист отдела промышленности и предпринимательства управления экономического развития, промышленности и предпринимательства 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Отчет о выполнении муниципальной программы</w:t>
            </w:r>
          </w:p>
        </w:tc>
      </w:tr>
      <w:tr>
        <w:trPr>
          <w:tblHeader w:val="0"/>
          <w:cantSplit w:val="0"/>
          <w:trHeight w:val="422" w:hRule="atLeast"/>
        </w:trPr>
        <w:tc>
          <w:tcPr>
            <w:tcW w:w="15219" w:type="dxa"/>
            <w:gridSpan w:val="4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tabs defTabSz="708">
                <w:tab w:val="left" w:pos="3240" w:leader="none"/>
              </w:tabs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2. Созданы благоприятные условия для осуществления деятельности самозанятыми гражданами посредством применения нового режима налогообложения и предоставления мер поддержки</w:t>
            </w:r>
          </w:p>
        </w:tc>
      </w:tr>
      <w:tr>
        <w:trPr>
          <w:tblHeader w:val="0"/>
          <w:cantSplit w:val="0"/>
          <w:trHeight w:val="299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</w:pPr>
            <w:r>
              <w:rPr>
                <w:sz w:val="20"/>
                <w:szCs w:val="20"/>
                <w:lang w:eastAsia="zh-cn"/>
              </w:rPr>
              <w:t xml:space="preserve"> 2.1. Мероприятие</w:t>
            </w:r>
            <w:r>
              <w:rPr>
                <w:spacing w:val="-4" w:percent="95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(результат)</w:t>
            </w:r>
            <w:r>
              <w:rPr>
                <w:spacing w:val="-1" w:percent="99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«</w:t>
            </w:r>
            <w:r>
              <w:rPr>
                <w:kern w:val="1"/>
                <w:sz w:val="20"/>
                <w:szCs w:val="20"/>
                <w:lang w:eastAsia="zh-cn" w:bidi="ar-sa"/>
              </w:rPr>
              <w:t xml:space="preserve">Осуществлено проведение мероприятий, направленных на повышение информированности населения городского округа о возможности применения </w:t>
            </w:r>
            <w:r>
              <w:rPr>
                <w:sz w:val="20"/>
                <w:szCs w:val="20"/>
                <w:lang w:eastAsia="zh-cn"/>
              </w:rPr>
              <w:t>нового режима налогообложения (НПД)»</w:t>
            </w:r>
            <w:r>
              <w:rPr>
                <w:spacing w:val="-6" w:percent="92"/>
                <w:sz w:val="20"/>
                <w:szCs w:val="20"/>
                <w:lang w:eastAsia="zh-cn"/>
              </w:rPr>
              <w:t xml:space="preserve"> </w:t>
            </w:r>
            <w:r/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</w:tr>
      <w:tr>
        <w:trPr>
          <w:tblHeader w:val="0"/>
          <w:cantSplit w:val="0"/>
          <w:trHeight w:val="423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tabs defTabSz="708">
                <w:tab w:val="left" w:pos="3391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2.1.1. Контрольная точка </w:t>
            </w:r>
            <w:r>
              <w:rPr>
                <w:sz w:val="20"/>
                <w:szCs w:val="20"/>
              </w:rPr>
              <w:t>«Проведен мониторинг выполнения установленных целевых значений показателя»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14 числа месяца, следующего за отчетным кварталом, ежеквартально 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Ильясова Е.Р., главный специалист отдела промышленности и предпринимательства управления экономического развития, промышленности и предпринимательства 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Отчет о выполнении муниципальной программы</w:t>
            </w:r>
          </w:p>
        </w:tc>
      </w:tr>
      <w:tr>
        <w:trPr>
          <w:tblHeader w:val="0"/>
          <w:cantSplit w:val="0"/>
          <w:trHeight w:val="298" w:hRule="atLeast"/>
        </w:trPr>
        <w:tc>
          <w:tcPr>
            <w:tcW w:w="15219" w:type="dxa"/>
            <w:gridSpan w:val="4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3. </w:t>
            </w:r>
            <w:r>
              <w:rPr>
                <w:sz w:val="20"/>
                <w:szCs w:val="20"/>
              </w:rPr>
              <w:t>Созданы благоприятные условия для стимулирования инвестиционной деятельности</w:t>
            </w:r>
          </w:p>
        </w:tc>
      </w:tr>
      <w:tr>
        <w:trPr>
          <w:tblHeader w:val="0"/>
          <w:cantSplit w:val="0"/>
          <w:trHeight w:val="303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3.1 Мероприятие (результат) «Осуществлено проведение мероприятий, направленных на повышение эффективности взаимодействия между участниками инвестиционного процесса»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 промышленности и предпринимательства управления экономического развития, промышленности и предпринимательства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</w:tr>
      <w:tr>
        <w:trPr>
          <w:tblHeader w:val="0"/>
          <w:cantSplit w:val="0"/>
          <w:trHeight w:val="303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3.1.1.  Контрольная точка «Обновлен инвестиционный паспорт Анжеро-Судженского городского округа»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31 декабря</w:t>
            </w:r>
          </w:p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ежегодно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Ильясова Е.Р., главный специалист отдела промышленности и предпринимательства управления экономического развития, промышленности и предпринимательства 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Инвестиционный паспорт Анжеро-Судженского городского округа</w:t>
            </w:r>
          </w:p>
        </w:tc>
      </w:tr>
      <w:tr>
        <w:trPr>
          <w:tblHeader w:val="0"/>
          <w:cantSplit w:val="0"/>
          <w:trHeight w:val="303" w:hRule="atLeast"/>
        </w:trPr>
        <w:tc>
          <w:tcPr>
            <w:tcW w:w="4743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3.1.2. Контрольная точка «Проведен мониторинг выполнения установленных целевых значений показателя»</w:t>
            </w:r>
          </w:p>
        </w:tc>
        <w:tc>
          <w:tcPr>
            <w:tcW w:w="2594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spacing/>
              <w:jc w:val="center"/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14 числа месяца, следующего за отчетным кварталом, ежеквартально </w:t>
            </w:r>
          </w:p>
        </w:tc>
        <w:tc>
          <w:tcPr>
            <w:tcW w:w="3202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Ильясова Е.Р., главный специалист отдела промышленности и предпринимательства управления экономического развития, промышленности и предпринимательства </w:t>
            </w:r>
          </w:p>
        </w:tc>
        <w:tc>
          <w:tcPr>
            <w:tcW w:w="4680" w:type="dxa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4898960" protected="1"/>
          </w:tcPr>
          <w:p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Отчет о выполнении муниципальной программы</w:t>
            </w:r>
          </w:p>
        </w:tc>
      </w:tr>
    </w:tbl>
    <w:p>
      <w:pPr>
        <w:pStyle w:val="para17"/>
        <w:contextualSpacing/>
      </w:pPr>
      <w:r/>
    </w:p>
    <w:p>
      <w:pPr>
        <w:pStyle w:val="para17"/>
        <w:contextualSpacing/>
      </w:pPr>
      <w:r/>
    </w:p>
    <w:p>
      <w:r/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lowerRoman"/>
            <w:numStart w:val="1"/>
            <w:numRestart w:val="continuous"/>
          </w:endnotePr>
          <w:headerReference w:type="default" r:id="rId15"/>
          <w:type w:val="nextPage"/>
          <w:pgSz w:h="11906" w:w="16838" w:orient="landscape"/>
          <w:pgMar w:left="1701" w:top="1134" w:right="850" w:bottom="1134" w:header="340" w:footer="0"/>
          <w:paperSrc w:first="0" w:other="0" a="0" b="0"/>
          <w:pgNumType w:fmt="decimal"/>
          <w:titlePg/>
          <w:tmGutter w:val="5"/>
          <w:mirrorMargins w:val="0"/>
          <w:tmSection w:h="-1">
            <w:tmHeader w:id="0" w:h="0" edge="340" text="0">
              <w:shd w:val="none"/>
            </w:tmHead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4"/>
        <w:ind w:firstLine="0"/>
        <w: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4</w:t>
      </w:r>
    </w:p>
    <w:p>
      <w:pPr>
        <w:pStyle w:val="para14"/>
        <w: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муниципальной программе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и поддержка </w:t>
      </w:r>
    </w:p>
    <w:p>
      <w:pPr>
        <w:pStyle w:val="para14"/>
        <w: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субъектов малого и среднего предпринимательства </w:t>
      </w:r>
    </w:p>
    <w:p>
      <w:pPr>
        <w:pStyle w:val="para14"/>
        <w: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Анжеро-Судженского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</w:rPr>
      </w:r>
    </w:p>
    <w:p>
      <w:pPr>
        <w:pStyle w:val="para23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утвержденной постановлением администрации </w:t>
      </w:r>
      <w:r/>
    </w:p>
    <w:p>
      <w:pPr>
        <w:pStyle w:val="para23"/>
        <w:ind w:left="4253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  <w:r>
        <w:rPr>
          <w:color w:val="000000"/>
        </w:rPr>
        <w:t xml:space="preserve"> Анжеро-Судженского городского округа </w:t>
      </w:r>
      <w:r/>
    </w:p>
    <w:p>
      <w:pPr>
        <w:pStyle w:val="para23"/>
        <w:ind w:left="4536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color w:val="000000"/>
        </w:rPr>
        <w:t xml:space="preserve">      от _________________   № ________</w:t>
      </w:r>
    </w:p>
    <w:p>
      <w:pPr>
        <w:pStyle w:val="para23"/>
        <w:ind w:left="4536"/>
        <w:spacing w:before="0" w:after="0" w:line="240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color w:val="000000"/>
        </w:rPr>
      </w:pPr>
      <w:r>
        <w:rPr>
          <w:color w:val="000000"/>
        </w:rPr>
      </w:r>
    </w:p>
    <w:p>
      <w:pPr>
        <w:pStyle w:val="para8"/>
        <w: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>
      <w:pPr>
        <w:pStyle w:val="para8"/>
        <w: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расчета показателей муниципальной программы</w:t>
      </w:r>
    </w:p>
    <w:p>
      <w:pPr>
        <w:pStyle w:val="para8"/>
        <w: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bookmarkStart w:id="11" w:name="__DdeLink__9801_3429019520"/>
      <w:r>
        <w:rPr>
          <w:rFonts w:ascii="Times New Roman" w:hAnsi="Times New Roman" w:cs="Times New Roman"/>
          <w:b/>
          <w:sz w:val="28"/>
          <w:szCs w:val="28"/>
        </w:rPr>
        <w:t>Развитие и поддержка субъектов малого и среднего предпринимательства Анжеро-Судженского городского округа»</w:t>
      </w:r>
      <w:bookmarkEnd w:id="11"/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para8"/>
        <w:spacing/>
        <w:jc w:val="center"/>
        <w:tabs defTabSz="708"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8"/>
        <w:spacing/>
        <w:jc w:val="center"/>
        <w:tabs defTabSz="708"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8"/>
        <w:ind w:firstLine="709"/>
        <w:spacing/>
        <w:jc w:val="both"/>
        <w:tabs defTabSz="708"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методика расчета показателей муниципальной программы </w:t>
      </w:r>
      <w:bookmarkStart w:id="12" w:name="__DdeLink__9798_3429019520_Копия_1"/>
      <w:r>
        <w:rPr>
          <w:rFonts w:ascii="Times New Roman" w:hAnsi="Times New Roman" w:cs="Times New Roman"/>
          <w:sz w:val="28"/>
          <w:szCs w:val="28"/>
        </w:rPr>
      </w:r>
      <w:bookmarkEnd w:id="12"/>
      <w:r>
        <w:rPr>
          <w:rFonts w:ascii="Times New Roman" w:hAnsi="Times New Roman" w:cs="Times New Roman"/>
          <w:sz w:val="28"/>
          <w:szCs w:val="28"/>
        </w:rPr>
        <w:t>«Развитие и поддержка  субъектов малого и среднего предпринимательства Анжеро-Судженского городского округа» устанавливает показатели муниципальной программы и ее структурных элементов.</w:t>
      </w:r>
    </w:p>
    <w:p>
      <w:pPr>
        <w:pStyle w:val="para8"/>
        <w:ind w:firstLine="567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8"/>
        <w:numPr>
          <w:ilvl w:val="0"/>
          <w:numId w:val="1"/>
        </w:numPr>
        <w:ind w:left="993" w:hanging="284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Показатели муниципальной программы: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  <w:tab/>
        <w:t xml:space="preserve">1.1. </w:t>
      </w:r>
      <w:r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Численность занятых в сфере малого и среднего предпринимательства, включая индивидуальных предпринимателей и самозанятых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(ЧЗ).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Расчёт показателя производится суммированием численности занятых в субъектах малого и среднего предпринимательства, численности индивидуальных предпринимателей и численности плательщиков налога на профессиональный доход.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Определяется в тысячах человек по формуле: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ЧЗ = Чмсп + Чип +Чнпд, где: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Чмсп - численность занятых в субъектах малого и среднего предпринимательства, тыс. человек;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Чип - численность индивидуальных предпринимателей, тыс. человек;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Чнпд - численность плательщиков налога на профессиональный доход, тыс. человек.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Источником данных является информация, предоставляемая </w:t>
      </w:r>
      <w:r>
        <w:rPr>
          <w:rFonts w:ascii="Times New Roman" w:hAnsi="Times New Roman" w:cs="Times New Roman"/>
          <w:sz w:val="28"/>
          <w:szCs w:val="28"/>
        </w:rPr>
        <w:t>Межрайонной инспекцией Федеральной налоговой службы № 9 по Кемеровской области-Кузбассу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>
      <w:pPr>
        <w:pStyle w:val="para8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Показатели комплекса</w:t>
      </w:r>
      <w:r>
        <w:rPr>
          <w:rFonts w:ascii="Times New Roman" w:hAnsi="Times New Roman" w:cs="Times New Roman"/>
          <w:spacing w:val="-4" w:percent="9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процессных</w:t>
      </w:r>
      <w:r>
        <w:rPr>
          <w:rFonts w:ascii="Times New Roman" w:hAnsi="Times New Roman" w:cs="Times New Roman"/>
          <w:spacing w:val="-4" w:percent="9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мероприятий «Формирования благоприятных экономических, правовых и организационных условий для развития малого и среднего предпринимательства на территории Анжеро-Судженского городского округа»: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i/>
          <w:iCs/>
          <w:sz w:val="28"/>
          <w:szCs w:val="28"/>
        </w:rPr>
        <w:t>Количество награжденных представителей малого и среднего бизнеса</w:t>
      </w:r>
      <w:r>
        <w:rPr>
          <w:rFonts w:ascii="Times New Roman" w:hAnsi="Times New Roman" w:cs="Times New Roman"/>
          <w:sz w:val="20"/>
          <w:szCs w:val="20"/>
        </w:rPr>
        <w:t>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Показатель учитывает абсолютное количество награжденных представителей малого и среднего бизнеса в отчетный период.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Определяется в человеках.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Источником данных являются распоряжения администрации Анжеро-Судженского городского округа и решения Совета народных депутатов Анжеро-Судженского городского округа о награждениях.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i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2.2.</w:t>
      </w:r>
      <w:r>
        <w:rPr>
          <w:rFonts w:ascii="Times New Roman" w:hAnsi="Times New Roman" w:cs="Times New Roman"/>
          <w:i/>
          <w:sz w:val="28"/>
          <w:szCs w:val="28"/>
          <w:lang w:eastAsia="zh-cn"/>
        </w:rPr>
        <w:t xml:space="preserve"> Количество зарегистрированных на территории городского округа индивидуальных предпринимателей.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Показатель учитывает абсолютное количество зарегистированных на территории Анжеро-Судженского городского округа индивидуальных предпринимателей на отчетную дату.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Определяется в человеках.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Источником данных является информация, предоставляемая </w:t>
      </w:r>
      <w:r>
        <w:rPr>
          <w:rFonts w:ascii="Times New Roman" w:hAnsi="Times New Roman" w:cs="Times New Roman"/>
          <w:sz w:val="28"/>
          <w:szCs w:val="28"/>
        </w:rPr>
        <w:t>Межрайонной инспекцией Федеральной налоговой службы № 9 по Кемеровской области-Кузбассу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2.3. </w:t>
      </w:r>
      <w:r>
        <w:rPr>
          <w:rFonts w:ascii="Times New Roman" w:hAnsi="Times New Roman" w:cs="Times New Roman"/>
          <w:i/>
          <w:iCs/>
          <w:sz w:val="28"/>
          <w:szCs w:val="28"/>
          <w:lang w:eastAsia="zh-cn"/>
        </w:rPr>
        <w:t>Количество граждан являющихся самозанятыми и подтвердивших статус плательщика налога "Налог на профессиональный доход"</w:t>
      </w:r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Показатель учитывает абсолютное количество граждан являющихся самозанятыми и подтвердивших статус плательщика налога "Налог на профессиональный доход", зарегистированных на территории Анжеро-Судженского городского округа на отчетную дату.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Определяется в человеках.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Источником данных является информация, предоставляемая </w:t>
      </w:r>
      <w:r>
        <w:rPr>
          <w:rFonts w:ascii="Times New Roman" w:hAnsi="Times New Roman" w:cs="Times New Roman"/>
          <w:sz w:val="28"/>
          <w:szCs w:val="28"/>
        </w:rPr>
        <w:t>Межрайонной инспекцией Федеральной налоговой службы № 9 по Кемеровской области-Кузбассу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2.4. </w:t>
      </w:r>
      <w:r>
        <w:rPr>
          <w:rFonts w:ascii="Times New Roman" w:hAnsi="Times New Roman" w:cs="Times New Roman"/>
          <w:i/>
          <w:iCs/>
          <w:sz w:val="28"/>
          <w:szCs w:val="28"/>
        </w:rPr>
        <w:t>Количество резидентов ТОР «Анжеро-Судженск» осуществляющих свою деятельность</w:t>
      </w:r>
      <w:r>
        <w:rPr>
          <w:rFonts w:ascii="Times New Roman" w:hAnsi="Times New Roman" w:cs="Times New Roman"/>
          <w:sz w:val="20"/>
          <w:szCs w:val="20"/>
        </w:rPr>
        <w:t>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Показатель учитывает абсолютное количество резидентов ТОР «Анжеро-Судженск» осуществляющих свою профессиональную деятельность на отчетную дату.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Определяется в единицах.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Источником данных является информация, предоставляемая Министерством экономического развития Кузбасса.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2.5. </w:t>
      </w:r>
      <w:r>
        <w:rPr>
          <w:rFonts w:ascii="Times New Roman" w:hAnsi="Times New Roman" w:cs="Times New Roman"/>
          <w:i/>
          <w:iCs/>
          <w:sz w:val="28"/>
          <w:szCs w:val="28"/>
        </w:rPr>
        <w:t>Количество субъектов инвестиционной деятельности на территории Анжеро-Судженского городского округа</w:t>
      </w:r>
      <w:r>
        <w:rPr>
          <w:rFonts w:ascii="Times New Roman" w:hAnsi="Times New Roman" w:cs="Times New Roman"/>
          <w:sz w:val="20"/>
          <w:szCs w:val="20"/>
        </w:rPr>
        <w:t>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Показатель учитывает абсолютное количество субъектов инвестиционной деятельности на территории Анжеро-Судженского городского округа, осуществляющих свою профессиональную деятельность на отчетную дату.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Определяется в единицах.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Источником данных является реестр инвесторов, ведущийся отделом промышленности и предпринимательства управления экономического развития администрации Анжеро-Судженского городского округа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highlight w:val="yellow"/>
          <w:sz w:val="28"/>
          <w:szCs w:val="28"/>
          <w:lang w:eastAsia="zh-cn"/>
        </w:rPr>
      </w:pPr>
      <w:r>
        <w:rPr>
          <w:rFonts w:ascii="Times New Roman" w:hAnsi="Times New Roman" w:cs="Times New Roman"/>
          <w:highlight w:val="yellow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2.6.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Количество российских организаций, осуществляющих деятельность в области информационных технологий на территории Анжеро-Судженского городского округа.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Показатель учитывает абсолютное количество </w:t>
      </w:r>
      <w:r>
        <w:rPr>
          <w:rFonts w:ascii="Times New Roman" w:hAnsi="Times New Roman" w:cs="Times New Roman"/>
          <w:color w:val="000000"/>
          <w:sz w:val="28"/>
          <w:szCs w:val="28"/>
        </w:rPr>
        <w:t>российских организаций, осуществляющих деятельность в области информационных технологий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на территории Анжеро-Судженского городского округа, осуществляющих свою профессиональную деятельность на отчетную дату.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Определяется в единицах.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Источником данных является реестр инвесторов, ведущийся отделом промышленности и предпринимательства управления экономического развития администрации Анжеро-Судженского городского округа</w:t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pStyle w:val="para8"/>
        <w:ind w:firstLine="737"/>
        <w:spacing/>
        <w:jc w:val="both"/>
        <w:tabs defTabSz="708">
          <w:tab w:val="left" w:pos="426" w:leader="none"/>
          <w:tab w:val="left" w:pos="709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16"/>
      <w:type w:val="nextPage"/>
      <w:pgSz w:h="16838" w:w="11906"/>
      <w:pgMar w:left="1701" w:top="1134" w:right="850" w:bottom="1134" w:header="340" w:footer="0"/>
      <w:paperSrc w:first="0" w:other="0" a="0" b="0"/>
      <w:pgNumType w:fmt="decimal"/>
      <w:titlePg/>
      <w:tmGutter w:val="5"/>
      <w:mirrorMargins w:val="0"/>
      <w:tmSection w:h="-1">
        <w:tmHeader w:id="0" w:h="0" edge="340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Basic Sans">
    <w:panose1 w:val="02020603050405020304"/>
    <w:charset w:val="00"/>
    <w:family w:val="roman"/>
    <w:pitch w:val="default"/>
  </w:font>
  <w:font w:name="PT Astra Serif">
    <w:panose1 w:val="02020603050405020304"/>
    <w:charset w:val="00"/>
    <w:family w:val="roman"/>
    <w:pitch w:val="default"/>
  </w:font>
  <w:font w:name="Noto Sans Devanagari">
    <w:panose1 w:val="020B0604020202020204"/>
    <w:charset w:val="00"/>
    <w:family w:val="swiss"/>
    <w:pitch w:val="default"/>
  </w:font>
  <w:font w:name="Calibri">
    <w:panose1 w:val="020F0502020204030204"/>
    <w:charset w:val="cc"/>
    <w:family w:val="swiss"/>
    <w:pitch w:val="default"/>
  </w:font>
  <w:font w:name="Tahoma">
    <w:panose1 w:val="020B0604030504040204"/>
    <w:charset w:val="cc"/>
    <w:family w:val="swiss"/>
    <w:pitch w:val="default"/>
  </w:font>
  <w:font w:name="Basic Roman">
    <w:panose1 w:val="02020603050405020304"/>
    <w:charset w:val="00"/>
    <w:family w:val="roman"/>
    <w:pitch w:val="default"/>
  </w:font>
  <w:font w:name="Arial Narrow">
    <w:panose1 w:val="020B0606020202030204"/>
    <w:charset w:val="cc"/>
    <w:family w:val="swiss"/>
    <w:pitch w:val="default"/>
  </w:font>
  <w:font w:name="Liberation Serif;Times New Roma">
    <w:panose1 w:val="020B0604020202020204"/>
    <w:charset w:val="00"/>
    <w:family w:val="auto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3</w:t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3</w:t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16</w:t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18</w:t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22</w:t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30</w:t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33</w:t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8193"/>
    <o:shapelayout v:ext="edit">
      <o:rules v:ext="edit"/>
    </o:shapelayout>
  </w:shapeDefaults>
  <w:tmPrefOne w:val="17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1"/>
    <w:tmRevisionNum w:val="28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1"/>
    <w:tmLastPosFrameIdx w:val="0"/>
    <w:tmLastPosCaret>
      <w:tmLastPosPgfIdx w:val="2"/>
      <w:tmLastPosIdx w:val="90"/>
    </w:tmLastPosCaret>
    <w:tmLastPosAnchor>
      <w:tmLastPosPgfIdx w:val="2"/>
      <w:tmLastPosIdx w:val="1"/>
    </w:tmLastPosAnchor>
    <w:tmLastPosTblRect w:left="0" w:top="0" w:right="0" w:bottom="0"/>
  </w:tmLastPos>
  <w:tmAppRevision w:date="1754898960" w:val="1224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noProof w:val="1"/>
      </w:rPr>
    </w:rPrDefault>
    <w:pPrDefault>
      <w:pPr>
        <w:suppressAutoHyphens/>
        <w:hyphenationLines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4"/>
      <w:szCs w:val="24"/>
      <w:lang w:val="ru-ru" w:eastAsia="ru-ru" w:bidi="ar-sa"/>
    </w:rPr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 w:customStyle="1">
    <w:name w:val="Заголовок"/>
    <w:qFormat/>
    <w:basedOn w:val="para0"/>
    <w:next w:val="para4"/>
    <w:pPr>
      <w:spacing/>
      <w:jc w:val="center"/>
    </w:pPr>
    <w:rPr>
      <w:b/>
      <w:color w:val="000000"/>
      <w:szCs w:val="20"/>
      <w:lang w:eastAsia="zh-cn"/>
    </w:rPr>
  </w:style>
  <w:style w:type="paragraph" w:styleId="para4">
    <w:name w:val="Body Text"/>
    <w:qFormat/>
    <w:basedOn w:val="para0"/>
    <w:pPr>
      <w:spacing w:after="120"/>
    </w:pPr>
  </w:style>
  <w:style w:type="paragraph" w:styleId="para5">
    <w:name w:val="List"/>
    <w:qFormat/>
    <w:basedOn w:val="para4"/>
    <w:rPr>
      <w:rFonts w:ascii="PT Astra Serif" w:hAnsi="PT Astra Serif" w:cs="Noto Sans Devanagari"/>
    </w:rPr>
  </w:style>
  <w:style w:type="paragraph" w:styleId="para6">
    <w:name w:val="caption"/>
    <w:qFormat/>
    <w:basedOn w:val="para0"/>
    <w:pPr>
      <w:spacing w:before="120" w:after="120"/>
      <w:suppressLineNumbers/>
    </w:pPr>
    <w:rPr>
      <w:rFonts w:ascii="PT Astra Serif" w:hAnsi="PT Astra Serif" w:cs="Noto Sans Devanagari"/>
      <w:i/>
    </w:rPr>
  </w:style>
  <w:style w:type="paragraph" w:styleId="para7" w:customStyle="1">
    <w:name w:val="Указатель*"/>
    <w:qFormat/>
    <w:basedOn w:val="para0"/>
    <w:pPr>
      <w:suppressLineNumbers/>
    </w:pPr>
    <w:rPr>
      <w:rFonts w:ascii="PT Astra Serif" w:hAnsi="PT Astra Serif" w:cs="Noto Sans Devanagari"/>
    </w:rPr>
  </w:style>
  <w:style w:type="paragraph" w:styleId="para8">
    <w:name w:val="No Spacing"/>
    <w:qFormat/>
    <w:rPr>
      <w:rFonts w:ascii="Calibri" w:hAnsi="Calibri" w:cs="Calibri"/>
      <w:sz w:val="22"/>
      <w:szCs w:val="22"/>
      <w:lang w:val="ru-ru" w:eastAsia="ru-ru" w:bidi="ar-sa"/>
    </w:rPr>
  </w:style>
  <w:style w:type="paragraph" w:styleId="para9" w:customStyle="1">
    <w:name w:val="Колонтитул"/>
    <w:qFormat/>
    <w:basedOn w:val="para0"/>
    <w:pPr>
      <w:suppressLineNumbers/>
      <w:tabs defTabSz="708">
        <w:tab w:val="center" w:pos="4819" w:leader="none"/>
        <w:tab w:val="right" w:pos="9638" w:leader="none"/>
      </w:tabs>
    </w:pPr>
  </w:style>
  <w:style w:type="paragraph" w:styleId="para10">
    <w:name w:val="Header"/>
    <w:qFormat/>
    <w:basedOn w:val="para0"/>
    <w:pPr>
      <w:tabs defTabSz="708">
        <w:tab w:val="center" w:pos="4677" w:leader="none"/>
        <w:tab w:val="right" w:pos="9355" w:leader="none"/>
      </w:tabs>
    </w:pPr>
    <w:rPr>
      <w:lang w:eastAsia="zh-cn"/>
    </w:rPr>
  </w:style>
  <w:style w:type="paragraph" w:styleId="para11">
    <w:name w:val="Footer"/>
    <w:qFormat/>
    <w:basedOn w:val="para0"/>
    <w:pPr>
      <w:tabs defTabSz="708">
        <w:tab w:val="center" w:pos="4677" w:leader="none"/>
        <w:tab w:val="right" w:pos="9355" w:leader="none"/>
      </w:tabs>
    </w:pPr>
  </w:style>
  <w:style w:type="paragraph" w:styleId="para12">
    <w:name w:val="Revision"/>
    <w:qFormat/>
    <w:rPr>
      <w:sz w:val="24"/>
      <w:szCs w:val="24"/>
      <w:lang w:val="ru-ru" w:eastAsia="ru-ru" w:bidi="ar-sa"/>
    </w:rPr>
  </w:style>
  <w:style w:type="paragraph" w:styleId="para13">
    <w:name w:val="Balloon Text"/>
    <w:qFormat/>
    <w:basedOn w:val="para0"/>
    <w:rPr>
      <w:rFonts w:ascii="Tahoma" w:hAnsi="Tahoma" w:cs="Tahoma"/>
      <w:sz w:val="16"/>
      <w:szCs w:val="16"/>
      <w:lang w:eastAsia="zh-cn"/>
    </w:rPr>
  </w:style>
  <w:style w:type="paragraph" w:styleId="para14" w:customStyle="1">
    <w:name w:val="ConsPlusNormal"/>
    <w:qFormat/>
    <w:pPr>
      <w:ind w:firstLine="720"/>
      <w:widowControl w:val="0"/>
    </w:pPr>
    <w:rPr>
      <w:rFonts w:ascii="Arial" w:hAnsi="Arial" w:cs="Arial"/>
      <w:lang w:val="ru-ru" w:eastAsia="zh-cn" w:bidi="ar-sa"/>
    </w:rPr>
  </w:style>
  <w:style w:type="paragraph" w:styleId="para15" w:customStyle="1">
    <w:name w:val="Table Paragraph"/>
    <w:qFormat/>
    <w:basedOn w:val="para0"/>
    <w:pPr>
      <w:widowControl w:val="0"/>
    </w:pPr>
    <w:rPr>
      <w:lang w:eastAsia="zh-cn"/>
    </w:rPr>
  </w:style>
  <w:style w:type="paragraph" w:styleId="para16" w:customStyle="1">
    <w:name w:val="Основной текст (4)"/>
    <w:qFormat/>
    <w:basedOn w:val="para0"/>
    <w:pPr>
      <w:spacing w:after="480" w:line="274" w:lineRule="exact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sz w:val="20"/>
      <w:szCs w:val="20"/>
      <w:lang w:eastAsia="zh-cn"/>
    </w:rPr>
  </w:style>
  <w:style w:type="paragraph" w:styleId="para17">
    <w:name w:val="Footnote Text"/>
    <w:qFormat/>
    <w:basedOn w:val="para0"/>
    <w:pPr>
      <w:widowControl w:val="0"/>
    </w:pPr>
    <w:rPr>
      <w:sz w:val="20"/>
      <w:szCs w:val="20"/>
      <w:lang w:eastAsia="zh-cn"/>
    </w:rPr>
  </w:style>
  <w:style w:type="paragraph" w:styleId="para18" w:customStyle="1">
    <w:name w:val="Основной текст (5)"/>
    <w:qFormat/>
    <w:basedOn w:val="para0"/>
    <w:pPr>
      <w:spacing w:before="240" w:line="274" w:lineRule="exact"/>
      <w:jc w:val="center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b/>
      <w:sz w:val="20"/>
      <w:szCs w:val="20"/>
      <w:lang w:eastAsia="zh-cn"/>
    </w:rPr>
  </w:style>
  <w:style w:type="paragraph" w:styleId="para19" w:customStyle="1">
    <w:name w:val="Содержимое таблицы"/>
    <w:qFormat/>
    <w:basedOn w:val="para0"/>
    <w:pPr>
      <w:suppressLineNumbers/>
      <w:widowControl w:val="0"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</w:rPr>
  </w:style>
  <w:style w:type="paragraph" w:styleId="para21" w:customStyle="1">
    <w:name w:val="ConsPlusTitle"/>
    <w:qFormat/>
    <w:pPr>
      <w:hyphenationLines w:val="1"/>
      <w:widowControl w:val="0"/>
    </w:pPr>
    <w:rPr>
      <w:rFonts w:ascii="Arial" w:hAnsi="Arial" w:eastAsia="Basic Roman" w:cs="Arial"/>
      <w:b/>
      <w:lang w:val="ru-ru" w:eastAsia="ru-ru" w:bidi="ar-sa"/>
    </w:rPr>
  </w:style>
  <w:style w:type="paragraph" w:styleId="para22" w:customStyle="1">
    <w:name w:val="ConsPlusCell"/>
    <w:qFormat/>
    <w:rPr>
      <w:rFonts w:ascii="Arial" w:hAnsi="Arial" w:cs="Arial"/>
      <w:kern w:val="1"/>
      <w:lang w:val="ru-ru" w:eastAsia="ru-ru" w:bidi="ar-sa"/>
    </w:rPr>
  </w:style>
  <w:style w:type="paragraph" w:styleId="para23" w:customStyle="1">
    <w:name w:val="Основной текст1"/>
    <w:qFormat/>
    <w:basedOn w:val="para0"/>
    <w:pPr>
      <w:spacing w:before="600" w:after="480" w:line="486" w:lineRule="exact"/>
      <w:jc w:val="both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kern w:val="1"/>
      <w:sz w:val="28"/>
      <w:szCs w:val="28"/>
    </w:rPr>
  </w:style>
  <w:style w:type="character" w:styleId="char0" w:default="1">
    <w:name w:val="Default Paragraph Font"/>
    <w:basedOn w:val="char0"/>
  </w:style>
  <w:style w:type="character" w:styleId="char1" w:customStyle="1">
    <w:name w:val="WW8Num1z0"/>
    <w:rPr>
      <w:strike w:val="0"/>
      <w:dstrike w:val="0"/>
      <w:color w:val="000000"/>
    </w:rPr>
  </w:style>
  <w:style w:type="character" w:styleId="char2" w:customStyle="1">
    <w:name w:val="WW8Num2z0"/>
    <w:rPr>
      <w:strike w:val="0"/>
      <w:dstrike w:val="0"/>
    </w:rPr>
  </w:style>
  <w:style w:type="character" w:styleId="char3" w:customStyle="1">
    <w:name w:val="Default Paragraph Font*"/>
  </w:style>
  <w:style w:type="character" w:styleId="char4" w:customStyle="1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char5" w:customStyle="1">
    <w:name w:val="Верхний колонтитул Знак"/>
    <w:rPr>
      <w:sz w:val="24"/>
      <w:szCs w:val="24"/>
    </w:rPr>
  </w:style>
  <w:style w:type="character" w:styleId="char6" w:customStyle="1">
    <w:name w:val="Текст выноски Знак"/>
    <w:rPr>
      <w:rFonts w:ascii="Tahoma" w:hAnsi="Tahoma" w:cs="Tahoma"/>
      <w:sz w:val="16"/>
      <w:szCs w:val="16"/>
    </w:rPr>
  </w:style>
  <w:style w:type="character" w:styleId="char7" w:customStyle="1">
    <w:name w:val="Название Знак"/>
    <w:rPr>
      <w:b/>
      <w:bCs w:val="0"/>
      <w:color w:val="000000"/>
      <w:sz w:val="24"/>
      <w:lang w:val="ru-ru" w:eastAsia="zh-cn"/>
    </w:rPr>
  </w:style>
  <w:style w:type="character" w:styleId="char8">
    <w:name w:val="Hyperlink"/>
    <w:rPr>
      <w:color w:val="0000ff"/>
      <w:u w:color="auto" w:val="single"/>
    </w:rPr>
  </w:style>
  <w:style w:type="character" w:styleId="char9" w:customStyle="1">
    <w:name w:val="Символ сноски"/>
    <w:rPr>
      <w:sz w:val="24"/>
      <w:vertAlign w:val="baseline"/>
    </w:rPr>
  </w:style>
  <w:style w:type="character" w:styleId="char10" w:customStyle="1">
    <w:name w:val="Знак сноски*"/>
    <w:rPr>
      <w:sz w:val="24"/>
      <w:vertAlign w:val="baseline"/>
    </w:rPr>
  </w:style>
  <w:style w:type="character" w:styleId="char11" w:customStyle="1">
    <w:name w:val="Основной текст (2) + 12 pt"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 w:percent="100"/>
      <w:w w:val="100"/>
      <w:sz w:val="24"/>
      <w:szCs w:val="24"/>
      <w:u w:color="auto" w:val="none"/>
      <w:shd w:val="clear" w:fill="ffffff"/>
      <w:vertAlign w:val="baseline"/>
      <w:lang w:val="ru-ru" w:bidi="ru-ru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Times New Roman" w:cs="Times New Roman"/>
        <w:sz w:val="20"/>
        <w:szCs w:val="20"/>
        <w:noProof w:val="1"/>
      </w:rPr>
    </w:rPrDefault>
    <w:pPrDefault>
      <w:pPr>
        <w:suppressAutoHyphens/>
        <w:hyphenationLines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4"/>
      <w:szCs w:val="24"/>
      <w:lang w:val="ru-ru" w:eastAsia="ru-ru" w:bidi="ar-sa"/>
    </w:rPr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 w:customStyle="1">
    <w:name w:val="Заголовок"/>
    <w:qFormat/>
    <w:basedOn w:val="para0"/>
    <w:next w:val="para4"/>
    <w:pPr>
      <w:spacing/>
      <w:jc w:val="center"/>
    </w:pPr>
    <w:rPr>
      <w:b/>
      <w:color w:val="000000"/>
      <w:szCs w:val="20"/>
      <w:lang w:eastAsia="zh-cn"/>
    </w:rPr>
  </w:style>
  <w:style w:type="paragraph" w:styleId="para4">
    <w:name w:val="Body Text"/>
    <w:qFormat/>
    <w:basedOn w:val="para0"/>
    <w:pPr>
      <w:spacing w:after="120"/>
    </w:pPr>
  </w:style>
  <w:style w:type="paragraph" w:styleId="para5">
    <w:name w:val="List"/>
    <w:qFormat/>
    <w:basedOn w:val="para4"/>
    <w:rPr>
      <w:rFonts w:ascii="PT Astra Serif" w:hAnsi="PT Astra Serif" w:cs="Noto Sans Devanagari"/>
    </w:rPr>
  </w:style>
  <w:style w:type="paragraph" w:styleId="para6">
    <w:name w:val="caption"/>
    <w:qFormat/>
    <w:basedOn w:val="para0"/>
    <w:pPr>
      <w:spacing w:before="120" w:after="120"/>
      <w:suppressLineNumbers/>
    </w:pPr>
    <w:rPr>
      <w:rFonts w:ascii="PT Astra Serif" w:hAnsi="PT Astra Serif" w:cs="Noto Sans Devanagari"/>
      <w:i/>
    </w:rPr>
  </w:style>
  <w:style w:type="paragraph" w:styleId="para7" w:customStyle="1">
    <w:name w:val="Указатель*"/>
    <w:qFormat/>
    <w:basedOn w:val="para0"/>
    <w:pPr>
      <w:suppressLineNumbers/>
    </w:pPr>
    <w:rPr>
      <w:rFonts w:ascii="PT Astra Serif" w:hAnsi="PT Astra Serif" w:cs="Noto Sans Devanagari"/>
    </w:rPr>
  </w:style>
  <w:style w:type="paragraph" w:styleId="para8">
    <w:name w:val="No Spacing"/>
    <w:qFormat/>
    <w:rPr>
      <w:rFonts w:ascii="Calibri" w:hAnsi="Calibri" w:cs="Calibri"/>
      <w:sz w:val="22"/>
      <w:szCs w:val="22"/>
      <w:lang w:val="ru-ru" w:eastAsia="ru-ru" w:bidi="ar-sa"/>
    </w:rPr>
  </w:style>
  <w:style w:type="paragraph" w:styleId="para9" w:customStyle="1">
    <w:name w:val="Колонтитул"/>
    <w:qFormat/>
    <w:basedOn w:val="para0"/>
    <w:pPr>
      <w:suppressLineNumbers/>
      <w:tabs defTabSz="708">
        <w:tab w:val="center" w:pos="4819" w:leader="none"/>
        <w:tab w:val="right" w:pos="9638" w:leader="none"/>
      </w:tabs>
    </w:pPr>
  </w:style>
  <w:style w:type="paragraph" w:styleId="para10">
    <w:name w:val="Header"/>
    <w:qFormat/>
    <w:basedOn w:val="para0"/>
    <w:pPr>
      <w:tabs defTabSz="708">
        <w:tab w:val="center" w:pos="4677" w:leader="none"/>
        <w:tab w:val="right" w:pos="9355" w:leader="none"/>
      </w:tabs>
    </w:pPr>
    <w:rPr>
      <w:lang w:eastAsia="zh-cn"/>
    </w:rPr>
  </w:style>
  <w:style w:type="paragraph" w:styleId="para11">
    <w:name w:val="Footer"/>
    <w:qFormat/>
    <w:basedOn w:val="para0"/>
    <w:pPr>
      <w:tabs defTabSz="708">
        <w:tab w:val="center" w:pos="4677" w:leader="none"/>
        <w:tab w:val="right" w:pos="9355" w:leader="none"/>
      </w:tabs>
    </w:pPr>
  </w:style>
  <w:style w:type="paragraph" w:styleId="para12">
    <w:name w:val="Revision"/>
    <w:qFormat/>
    <w:rPr>
      <w:sz w:val="24"/>
      <w:szCs w:val="24"/>
      <w:lang w:val="ru-ru" w:eastAsia="ru-ru" w:bidi="ar-sa"/>
    </w:rPr>
  </w:style>
  <w:style w:type="paragraph" w:styleId="para13">
    <w:name w:val="Balloon Text"/>
    <w:qFormat/>
    <w:basedOn w:val="para0"/>
    <w:rPr>
      <w:rFonts w:ascii="Tahoma" w:hAnsi="Tahoma" w:cs="Tahoma"/>
      <w:sz w:val="16"/>
      <w:szCs w:val="16"/>
      <w:lang w:eastAsia="zh-cn"/>
    </w:rPr>
  </w:style>
  <w:style w:type="paragraph" w:styleId="para14" w:customStyle="1">
    <w:name w:val="ConsPlusNormal"/>
    <w:qFormat/>
    <w:pPr>
      <w:ind w:firstLine="720"/>
      <w:widowControl w:val="0"/>
    </w:pPr>
    <w:rPr>
      <w:rFonts w:ascii="Arial" w:hAnsi="Arial" w:cs="Arial"/>
      <w:lang w:val="ru-ru" w:eastAsia="zh-cn" w:bidi="ar-sa"/>
    </w:rPr>
  </w:style>
  <w:style w:type="paragraph" w:styleId="para15" w:customStyle="1">
    <w:name w:val="Table Paragraph"/>
    <w:qFormat/>
    <w:basedOn w:val="para0"/>
    <w:pPr>
      <w:widowControl w:val="0"/>
    </w:pPr>
    <w:rPr>
      <w:lang w:eastAsia="zh-cn"/>
    </w:rPr>
  </w:style>
  <w:style w:type="paragraph" w:styleId="para16" w:customStyle="1">
    <w:name w:val="Основной текст (4)"/>
    <w:qFormat/>
    <w:basedOn w:val="para0"/>
    <w:pPr>
      <w:spacing w:after="480" w:line="274" w:lineRule="exact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sz w:val="20"/>
      <w:szCs w:val="20"/>
      <w:lang w:eastAsia="zh-cn"/>
    </w:rPr>
  </w:style>
  <w:style w:type="paragraph" w:styleId="para17">
    <w:name w:val="Footnote Text"/>
    <w:qFormat/>
    <w:basedOn w:val="para0"/>
    <w:pPr>
      <w:widowControl w:val="0"/>
    </w:pPr>
    <w:rPr>
      <w:sz w:val="20"/>
      <w:szCs w:val="20"/>
      <w:lang w:eastAsia="zh-cn"/>
    </w:rPr>
  </w:style>
  <w:style w:type="paragraph" w:styleId="para18" w:customStyle="1">
    <w:name w:val="Основной текст (5)"/>
    <w:qFormat/>
    <w:basedOn w:val="para0"/>
    <w:pPr>
      <w:spacing w:before="240" w:line="274" w:lineRule="exact"/>
      <w:jc w:val="center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b/>
      <w:sz w:val="20"/>
      <w:szCs w:val="20"/>
      <w:lang w:eastAsia="zh-cn"/>
    </w:rPr>
  </w:style>
  <w:style w:type="paragraph" w:styleId="para19" w:customStyle="1">
    <w:name w:val="Содержимое таблицы"/>
    <w:qFormat/>
    <w:basedOn w:val="para0"/>
    <w:pPr>
      <w:suppressLineNumbers/>
      <w:widowControl w:val="0"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</w:rPr>
  </w:style>
  <w:style w:type="paragraph" w:styleId="para21" w:customStyle="1">
    <w:name w:val="ConsPlusTitle"/>
    <w:qFormat/>
    <w:pPr>
      <w:hyphenationLines w:val="1"/>
      <w:widowControl w:val="0"/>
    </w:pPr>
    <w:rPr>
      <w:rFonts w:ascii="Arial" w:hAnsi="Arial" w:eastAsia="Basic Roman" w:cs="Arial"/>
      <w:b/>
      <w:lang w:val="ru-ru" w:eastAsia="ru-ru" w:bidi="ar-sa"/>
    </w:rPr>
  </w:style>
  <w:style w:type="paragraph" w:styleId="para22" w:customStyle="1">
    <w:name w:val="ConsPlusCell"/>
    <w:qFormat/>
    <w:rPr>
      <w:rFonts w:ascii="Arial" w:hAnsi="Arial" w:cs="Arial"/>
      <w:kern w:val="1"/>
      <w:lang w:val="ru-ru" w:eastAsia="ru-ru" w:bidi="ar-sa"/>
    </w:rPr>
  </w:style>
  <w:style w:type="paragraph" w:styleId="para23" w:customStyle="1">
    <w:name w:val="Основной текст1"/>
    <w:qFormat/>
    <w:basedOn w:val="para0"/>
    <w:pPr>
      <w:spacing w:before="600" w:after="480" w:line="486" w:lineRule="exact"/>
      <w:jc w:val="both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kern w:val="1"/>
      <w:sz w:val="28"/>
      <w:szCs w:val="28"/>
    </w:rPr>
  </w:style>
  <w:style w:type="character" w:styleId="char0" w:default="1">
    <w:name w:val="Default Paragraph Font"/>
    <w:basedOn w:val="char0"/>
  </w:style>
  <w:style w:type="character" w:styleId="char1" w:customStyle="1">
    <w:name w:val="WW8Num1z0"/>
    <w:rPr>
      <w:strike w:val="0"/>
      <w:dstrike w:val="0"/>
      <w:color w:val="000000"/>
    </w:rPr>
  </w:style>
  <w:style w:type="character" w:styleId="char2" w:customStyle="1">
    <w:name w:val="WW8Num2z0"/>
    <w:rPr>
      <w:strike w:val="0"/>
      <w:dstrike w:val="0"/>
    </w:rPr>
  </w:style>
  <w:style w:type="character" w:styleId="char3" w:customStyle="1">
    <w:name w:val="Default Paragraph Font*"/>
  </w:style>
  <w:style w:type="character" w:styleId="char4" w:customStyle="1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char5" w:customStyle="1">
    <w:name w:val="Верхний колонтитул Знак"/>
    <w:rPr>
      <w:sz w:val="24"/>
      <w:szCs w:val="24"/>
    </w:rPr>
  </w:style>
  <w:style w:type="character" w:styleId="char6" w:customStyle="1">
    <w:name w:val="Текст выноски Знак"/>
    <w:rPr>
      <w:rFonts w:ascii="Tahoma" w:hAnsi="Tahoma" w:cs="Tahoma"/>
      <w:sz w:val="16"/>
      <w:szCs w:val="16"/>
    </w:rPr>
  </w:style>
  <w:style w:type="character" w:styleId="char7" w:customStyle="1">
    <w:name w:val="Название Знак"/>
    <w:rPr>
      <w:b/>
      <w:bCs w:val="0"/>
      <w:color w:val="000000"/>
      <w:sz w:val="24"/>
      <w:lang w:val="ru-ru" w:eastAsia="zh-cn"/>
    </w:rPr>
  </w:style>
  <w:style w:type="character" w:styleId="char8">
    <w:name w:val="Hyperlink"/>
    <w:rPr>
      <w:color w:val="0000ff"/>
      <w:u w:color="auto" w:val="single"/>
    </w:rPr>
  </w:style>
  <w:style w:type="character" w:styleId="char9" w:customStyle="1">
    <w:name w:val="Символ сноски"/>
    <w:rPr>
      <w:sz w:val="24"/>
      <w:vertAlign w:val="baseline"/>
    </w:rPr>
  </w:style>
  <w:style w:type="character" w:styleId="char10" w:customStyle="1">
    <w:name w:val="Знак сноски*"/>
    <w:rPr>
      <w:sz w:val="24"/>
      <w:vertAlign w:val="baseline"/>
    </w:rPr>
  </w:style>
  <w:style w:type="character" w:styleId="char11" w:customStyle="1">
    <w:name w:val="Основной текст (2) + 12 pt"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 w:percent="100"/>
      <w:w w:val="100"/>
      <w:sz w:val="24"/>
      <w:szCs w:val="24"/>
      <w:u w:color="auto" w:val="none"/>
      <w:shd w:val="clear" w:fill="ffffff"/>
      <w:vertAlign w:val="baseline"/>
      <w:lang w:val="ru-ru" w:bidi="ru-ru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Relationship Id="rId9" Type="http://schemas.openxmlformats.org/officeDocument/2006/relationships/hyperlink" Target="http://www.anzhero.ru/" TargetMode="Externa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header" Target="header5.xml"/><Relationship Id="rId15" Type="http://schemas.openxmlformats.org/officeDocument/2006/relationships/header" Target="header6.xml"/><Relationship Id="rId16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*</dc:creator>
  <cp:keywords/>
  <dc:description/>
  <cp:lastModifiedBy/>
  <cp:revision>28</cp:revision>
  <cp:lastPrinted>2025-07-08T04:03:00Z</cp:lastPrinted>
  <dcterms:created xsi:type="dcterms:W3CDTF">2025-04-30T04:32:00Z</dcterms:created>
  <dcterms:modified xsi:type="dcterms:W3CDTF">2025-08-11T07:56:00Z</dcterms:modified>
</cp:coreProperties>
</file>